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7ACE7" w14:textId="77777777" w:rsidR="002071F7" w:rsidRPr="00901924" w:rsidRDefault="002A4E06" w:rsidP="002A4E06">
      <w:pPr>
        <w:spacing w:after="0" w:line="240" w:lineRule="auto"/>
        <w:jc w:val="center"/>
        <w:rPr>
          <w:rFonts w:ascii="Arial" w:hAnsi="Arial" w:cs="Arial"/>
          <w:b/>
          <w:sz w:val="20"/>
          <w:szCs w:val="20"/>
          <w:u w:val="single"/>
        </w:rPr>
      </w:pPr>
      <w:r w:rsidRPr="00901924">
        <w:rPr>
          <w:rFonts w:ascii="Arial" w:hAnsi="Arial" w:cs="Arial"/>
          <w:b/>
          <w:sz w:val="20"/>
          <w:szCs w:val="20"/>
          <w:u w:val="single"/>
        </w:rPr>
        <w:t>INVERSION EN VENTURE CAPITAL</w:t>
      </w:r>
    </w:p>
    <w:p w14:paraId="24E118B3" w14:textId="77777777" w:rsidR="002A4E06" w:rsidRPr="00901924" w:rsidRDefault="002A4E06" w:rsidP="002A4E06">
      <w:pPr>
        <w:spacing w:after="0" w:line="240" w:lineRule="auto"/>
        <w:jc w:val="center"/>
        <w:rPr>
          <w:rFonts w:ascii="Arial" w:hAnsi="Arial" w:cs="Arial"/>
          <w:sz w:val="20"/>
          <w:szCs w:val="20"/>
        </w:rPr>
      </w:pPr>
    </w:p>
    <w:p w14:paraId="6A7D4B63" w14:textId="77777777" w:rsidR="002A4E06" w:rsidRPr="00901924" w:rsidRDefault="002A4E06" w:rsidP="002A4E06">
      <w:pPr>
        <w:spacing w:after="0" w:line="240" w:lineRule="auto"/>
        <w:jc w:val="both"/>
        <w:rPr>
          <w:rFonts w:ascii="Arial" w:hAnsi="Arial" w:cs="Arial"/>
          <w:sz w:val="20"/>
          <w:szCs w:val="20"/>
        </w:rPr>
      </w:pPr>
      <w:r w:rsidRPr="00901924">
        <w:rPr>
          <w:rFonts w:ascii="Arial" w:hAnsi="Arial" w:cs="Arial"/>
          <w:sz w:val="20"/>
          <w:szCs w:val="20"/>
        </w:rPr>
        <w:t xml:space="preserve">La industria del Capital de Riesgo </w:t>
      </w:r>
      <w:r w:rsidR="009E6CC1" w:rsidRPr="00901924">
        <w:rPr>
          <w:rFonts w:ascii="Arial" w:hAnsi="Arial" w:cs="Arial"/>
          <w:sz w:val="20"/>
          <w:szCs w:val="20"/>
        </w:rPr>
        <w:t>(</w:t>
      </w:r>
      <w:r w:rsidRPr="00901924">
        <w:rPr>
          <w:rFonts w:ascii="Arial" w:hAnsi="Arial" w:cs="Arial"/>
          <w:sz w:val="20"/>
          <w:szCs w:val="20"/>
        </w:rPr>
        <w:t xml:space="preserve">o </w:t>
      </w:r>
      <w:r w:rsidRPr="00901924">
        <w:rPr>
          <w:rFonts w:ascii="Arial" w:hAnsi="Arial" w:cs="Arial"/>
          <w:i/>
          <w:sz w:val="20"/>
          <w:szCs w:val="20"/>
        </w:rPr>
        <w:t>Venture Capital</w:t>
      </w:r>
      <w:r w:rsidRPr="00901924">
        <w:rPr>
          <w:rFonts w:ascii="Arial" w:hAnsi="Arial" w:cs="Arial"/>
          <w:sz w:val="20"/>
          <w:szCs w:val="20"/>
        </w:rPr>
        <w:t xml:space="preserve"> en su acepción inglesa</w:t>
      </w:r>
      <w:r w:rsidR="009E6CC1" w:rsidRPr="00901924">
        <w:rPr>
          <w:rFonts w:ascii="Arial" w:hAnsi="Arial" w:cs="Arial"/>
          <w:sz w:val="20"/>
          <w:szCs w:val="20"/>
        </w:rPr>
        <w:t>)</w:t>
      </w:r>
      <w:r w:rsidR="00341EEC" w:rsidRPr="00901924">
        <w:rPr>
          <w:rFonts w:ascii="Arial" w:hAnsi="Arial" w:cs="Arial"/>
          <w:sz w:val="20"/>
          <w:szCs w:val="20"/>
        </w:rPr>
        <w:t xml:space="preserve"> es una industria particular dentro de las posibilidades de inversión de cualquier inversionista, sea institucional, calificado o </w:t>
      </w:r>
      <w:proofErr w:type="spellStart"/>
      <w:r w:rsidR="00341EEC" w:rsidRPr="00901924">
        <w:rPr>
          <w:rFonts w:ascii="Arial" w:hAnsi="Arial" w:cs="Arial"/>
          <w:sz w:val="20"/>
          <w:szCs w:val="20"/>
        </w:rPr>
        <w:t>retail</w:t>
      </w:r>
      <w:proofErr w:type="spellEnd"/>
      <w:r w:rsidR="00341EEC" w:rsidRPr="00901924">
        <w:rPr>
          <w:rFonts w:ascii="Arial" w:hAnsi="Arial" w:cs="Arial"/>
          <w:sz w:val="20"/>
          <w:szCs w:val="20"/>
        </w:rPr>
        <w:t>.</w:t>
      </w:r>
    </w:p>
    <w:p w14:paraId="63C2164A" w14:textId="77777777" w:rsidR="00341EEC" w:rsidRPr="00901924" w:rsidRDefault="00341EEC" w:rsidP="002A4E06">
      <w:pPr>
        <w:spacing w:after="0" w:line="240" w:lineRule="auto"/>
        <w:jc w:val="both"/>
        <w:rPr>
          <w:rFonts w:ascii="Arial" w:hAnsi="Arial" w:cs="Arial"/>
          <w:sz w:val="20"/>
          <w:szCs w:val="20"/>
        </w:rPr>
      </w:pPr>
    </w:p>
    <w:p w14:paraId="27DE025B" w14:textId="794EA39C" w:rsidR="00036506" w:rsidRPr="00901924" w:rsidRDefault="00036506" w:rsidP="002A4E06">
      <w:pPr>
        <w:spacing w:after="0" w:line="240" w:lineRule="auto"/>
        <w:jc w:val="both"/>
        <w:rPr>
          <w:rFonts w:ascii="Arial" w:hAnsi="Arial" w:cs="Arial"/>
          <w:sz w:val="20"/>
          <w:szCs w:val="20"/>
        </w:rPr>
      </w:pPr>
      <w:r w:rsidRPr="00901924">
        <w:rPr>
          <w:rFonts w:ascii="Arial" w:hAnsi="Arial" w:cs="Arial"/>
          <w:sz w:val="20"/>
          <w:szCs w:val="20"/>
        </w:rPr>
        <w:t xml:space="preserve">La inversión en </w:t>
      </w:r>
      <w:r w:rsidR="00341EEC" w:rsidRPr="00901924">
        <w:rPr>
          <w:rFonts w:ascii="Arial" w:hAnsi="Arial" w:cs="Arial"/>
          <w:sz w:val="20"/>
          <w:szCs w:val="20"/>
        </w:rPr>
        <w:t>Venture Capital</w:t>
      </w:r>
      <w:r w:rsidRPr="00901924">
        <w:rPr>
          <w:rFonts w:ascii="Arial" w:hAnsi="Arial" w:cs="Arial"/>
          <w:sz w:val="20"/>
          <w:szCs w:val="20"/>
        </w:rPr>
        <w:t>, es un pilar fundamental para el desarrollo de nuevas industrias, y motor de la innovación y el emprendimiento, que son claves para el desarrollo econ</w:t>
      </w:r>
      <w:r w:rsidR="00374C1D" w:rsidRPr="00901924">
        <w:rPr>
          <w:rFonts w:ascii="Arial" w:hAnsi="Arial" w:cs="Arial"/>
          <w:sz w:val="20"/>
          <w:szCs w:val="20"/>
        </w:rPr>
        <w:t>ó</w:t>
      </w:r>
      <w:r w:rsidRPr="00901924">
        <w:rPr>
          <w:rFonts w:ascii="Arial" w:hAnsi="Arial" w:cs="Arial"/>
          <w:sz w:val="20"/>
          <w:szCs w:val="20"/>
        </w:rPr>
        <w:t>mico de las naciones.</w:t>
      </w:r>
    </w:p>
    <w:p w14:paraId="0B0D1F00" w14:textId="77777777" w:rsidR="00036506" w:rsidRPr="00901924" w:rsidRDefault="00036506" w:rsidP="002A4E06">
      <w:pPr>
        <w:spacing w:after="0" w:line="240" w:lineRule="auto"/>
        <w:jc w:val="both"/>
        <w:rPr>
          <w:rFonts w:ascii="Arial" w:hAnsi="Arial" w:cs="Arial"/>
          <w:sz w:val="20"/>
          <w:szCs w:val="20"/>
        </w:rPr>
      </w:pPr>
    </w:p>
    <w:p w14:paraId="116AF07C" w14:textId="77FEBDA7" w:rsidR="00341EEC" w:rsidRPr="00901924" w:rsidRDefault="00036506" w:rsidP="002A4E06">
      <w:pPr>
        <w:spacing w:after="0" w:line="240" w:lineRule="auto"/>
        <w:jc w:val="both"/>
        <w:rPr>
          <w:rFonts w:ascii="Arial" w:hAnsi="Arial" w:cs="Arial"/>
          <w:sz w:val="20"/>
          <w:szCs w:val="20"/>
        </w:rPr>
      </w:pPr>
      <w:r w:rsidRPr="00901924">
        <w:rPr>
          <w:rFonts w:ascii="Arial" w:hAnsi="Arial" w:cs="Arial"/>
          <w:sz w:val="20"/>
          <w:szCs w:val="20"/>
        </w:rPr>
        <w:t>Esta industria, que puede generar retornos muy atra</w:t>
      </w:r>
      <w:r w:rsidR="00E946E8" w:rsidRPr="00901924">
        <w:rPr>
          <w:rFonts w:ascii="Arial" w:hAnsi="Arial" w:cs="Arial"/>
          <w:sz w:val="20"/>
          <w:szCs w:val="20"/>
        </w:rPr>
        <w:t>ctivos</w:t>
      </w:r>
      <w:r w:rsidRPr="00901924">
        <w:rPr>
          <w:rFonts w:ascii="Arial" w:hAnsi="Arial" w:cs="Arial"/>
          <w:sz w:val="20"/>
          <w:szCs w:val="20"/>
        </w:rPr>
        <w:t xml:space="preserve"> por sobre otra clase de activos, se basa en</w:t>
      </w:r>
      <w:r w:rsidR="00341EEC" w:rsidRPr="00901924">
        <w:rPr>
          <w:rFonts w:ascii="Arial" w:hAnsi="Arial" w:cs="Arial"/>
          <w:sz w:val="20"/>
          <w:szCs w:val="20"/>
        </w:rPr>
        <w:t xml:space="preserve"> una serie de </w:t>
      </w:r>
      <w:r w:rsidR="00561B16" w:rsidRPr="00901924">
        <w:rPr>
          <w:rFonts w:ascii="Arial" w:hAnsi="Arial" w:cs="Arial"/>
          <w:sz w:val="20"/>
          <w:szCs w:val="20"/>
        </w:rPr>
        <w:t>principios</w:t>
      </w:r>
      <w:r w:rsidR="00341EEC" w:rsidRPr="00901924">
        <w:rPr>
          <w:rFonts w:ascii="Arial" w:hAnsi="Arial" w:cs="Arial"/>
          <w:sz w:val="20"/>
          <w:szCs w:val="20"/>
        </w:rPr>
        <w:t xml:space="preserve">, que </w:t>
      </w:r>
      <w:r w:rsidR="00561B16" w:rsidRPr="00901924">
        <w:rPr>
          <w:rFonts w:ascii="Arial" w:hAnsi="Arial" w:cs="Arial"/>
          <w:sz w:val="20"/>
          <w:szCs w:val="20"/>
        </w:rPr>
        <w:t>privilegian la creación</w:t>
      </w:r>
      <w:r w:rsidR="00341EEC" w:rsidRPr="00901924">
        <w:rPr>
          <w:rFonts w:ascii="Arial" w:hAnsi="Arial" w:cs="Arial"/>
          <w:sz w:val="20"/>
          <w:szCs w:val="20"/>
        </w:rPr>
        <w:t xml:space="preserve"> de valor </w:t>
      </w:r>
      <w:r w:rsidR="00E9009E" w:rsidRPr="00901924">
        <w:rPr>
          <w:rFonts w:ascii="Arial" w:hAnsi="Arial" w:cs="Arial"/>
          <w:sz w:val="20"/>
          <w:szCs w:val="20"/>
        </w:rPr>
        <w:t xml:space="preserve">en el largo plazo </w:t>
      </w:r>
      <w:r w:rsidR="00341EEC" w:rsidRPr="00901924">
        <w:rPr>
          <w:rFonts w:ascii="Arial" w:hAnsi="Arial" w:cs="Arial"/>
          <w:sz w:val="20"/>
          <w:szCs w:val="20"/>
        </w:rPr>
        <w:t>por sobre al retorno o seguridades que se obtengan en el corto plazo.</w:t>
      </w:r>
    </w:p>
    <w:p w14:paraId="4E988256" w14:textId="77777777" w:rsidR="00341EEC" w:rsidRPr="00901924" w:rsidRDefault="00341EEC" w:rsidP="002A4E06">
      <w:pPr>
        <w:spacing w:after="0" w:line="240" w:lineRule="auto"/>
        <w:jc w:val="both"/>
        <w:rPr>
          <w:rFonts w:ascii="Arial" w:hAnsi="Arial" w:cs="Arial"/>
          <w:sz w:val="20"/>
          <w:szCs w:val="20"/>
        </w:rPr>
      </w:pPr>
    </w:p>
    <w:p w14:paraId="4BCD0D69" w14:textId="4523175D" w:rsidR="00341EEC" w:rsidRPr="00901924" w:rsidRDefault="00561B16" w:rsidP="002A4E06">
      <w:pPr>
        <w:spacing w:after="0" w:line="240" w:lineRule="auto"/>
        <w:jc w:val="both"/>
        <w:rPr>
          <w:rFonts w:ascii="Arial" w:hAnsi="Arial" w:cs="Arial"/>
          <w:sz w:val="20"/>
          <w:szCs w:val="20"/>
        </w:rPr>
      </w:pPr>
      <w:r w:rsidRPr="00901924">
        <w:rPr>
          <w:rFonts w:ascii="Arial" w:hAnsi="Arial" w:cs="Arial"/>
          <w:sz w:val="20"/>
          <w:szCs w:val="20"/>
        </w:rPr>
        <w:t>Estos son algunos de estos principios</w:t>
      </w:r>
      <w:r w:rsidR="00341EEC" w:rsidRPr="00901924">
        <w:rPr>
          <w:rFonts w:ascii="Arial" w:hAnsi="Arial" w:cs="Arial"/>
          <w:sz w:val="20"/>
          <w:szCs w:val="20"/>
        </w:rPr>
        <w:t>:</w:t>
      </w:r>
    </w:p>
    <w:p w14:paraId="14884BC4" w14:textId="77777777" w:rsidR="00341EEC" w:rsidRPr="00901924" w:rsidRDefault="00341EEC" w:rsidP="002A4E06">
      <w:pPr>
        <w:spacing w:after="0" w:line="240" w:lineRule="auto"/>
        <w:jc w:val="both"/>
        <w:rPr>
          <w:rFonts w:ascii="Arial" w:hAnsi="Arial" w:cs="Arial"/>
          <w:sz w:val="20"/>
          <w:szCs w:val="20"/>
        </w:rPr>
      </w:pPr>
    </w:p>
    <w:p w14:paraId="4BCF50C8" w14:textId="47979571" w:rsidR="00341EEC" w:rsidRPr="00901924" w:rsidRDefault="00561B16" w:rsidP="00341EEC">
      <w:pPr>
        <w:pStyle w:val="Prrafodelista"/>
        <w:numPr>
          <w:ilvl w:val="0"/>
          <w:numId w:val="1"/>
        </w:numPr>
        <w:spacing w:after="0" w:line="240" w:lineRule="auto"/>
        <w:jc w:val="both"/>
        <w:rPr>
          <w:rFonts w:ascii="Arial" w:hAnsi="Arial" w:cs="Arial"/>
          <w:sz w:val="20"/>
          <w:szCs w:val="20"/>
        </w:rPr>
      </w:pPr>
      <w:r w:rsidRPr="00901924">
        <w:rPr>
          <w:rFonts w:ascii="Arial" w:hAnsi="Arial" w:cs="Arial"/>
          <w:sz w:val="20"/>
          <w:szCs w:val="20"/>
        </w:rPr>
        <w:t>La industria de Venture Capital en general invierte en emprendimientos de base tecnológica o científica de alto potencial, que son empresas que tienen la capacidad de escalar sus oper</w:t>
      </w:r>
      <w:r w:rsidR="00E946E8" w:rsidRPr="00901924">
        <w:rPr>
          <w:rFonts w:ascii="Arial" w:hAnsi="Arial" w:cs="Arial"/>
          <w:sz w:val="20"/>
          <w:szCs w:val="20"/>
        </w:rPr>
        <w:t>a</w:t>
      </w:r>
      <w:r w:rsidRPr="00901924">
        <w:rPr>
          <w:rFonts w:ascii="Arial" w:hAnsi="Arial" w:cs="Arial"/>
          <w:sz w:val="20"/>
          <w:szCs w:val="20"/>
        </w:rPr>
        <w:t xml:space="preserve">ciones y convertirse en operaciones regionales o globales. </w:t>
      </w:r>
      <w:r w:rsidR="00341EEC" w:rsidRPr="00901924">
        <w:rPr>
          <w:rFonts w:ascii="Arial" w:hAnsi="Arial" w:cs="Arial"/>
          <w:sz w:val="20"/>
          <w:szCs w:val="20"/>
        </w:rPr>
        <w:t>Por regla general, este tipo de inversiones se realiza en empresas que se encuentran en</w:t>
      </w:r>
      <w:r w:rsidR="00DD7CC1" w:rsidRPr="00901924">
        <w:rPr>
          <w:rFonts w:ascii="Arial" w:hAnsi="Arial" w:cs="Arial"/>
          <w:sz w:val="20"/>
          <w:szCs w:val="20"/>
        </w:rPr>
        <w:t xml:space="preserve"> alguna de la siguientes etapas:</w:t>
      </w:r>
      <w:r w:rsidR="00341EEC" w:rsidRPr="00901924">
        <w:rPr>
          <w:rFonts w:ascii="Arial" w:hAnsi="Arial" w:cs="Arial"/>
          <w:sz w:val="20"/>
          <w:szCs w:val="20"/>
        </w:rPr>
        <w:t xml:space="preserve"> (i) etapas tempranas de formación, sin ventas ni utilidad (</w:t>
      </w:r>
      <w:proofErr w:type="spellStart"/>
      <w:r w:rsidR="00341EEC" w:rsidRPr="00901924">
        <w:rPr>
          <w:rFonts w:ascii="Arial" w:hAnsi="Arial" w:cs="Arial"/>
          <w:sz w:val="20"/>
          <w:szCs w:val="20"/>
        </w:rPr>
        <w:t>early</w:t>
      </w:r>
      <w:proofErr w:type="spellEnd"/>
      <w:r w:rsidR="00341EEC" w:rsidRPr="00901924">
        <w:rPr>
          <w:rFonts w:ascii="Arial" w:hAnsi="Arial" w:cs="Arial"/>
          <w:sz w:val="20"/>
          <w:szCs w:val="20"/>
        </w:rPr>
        <w:t xml:space="preserve"> </w:t>
      </w:r>
      <w:proofErr w:type="spellStart"/>
      <w:r w:rsidR="00341EEC" w:rsidRPr="00901924">
        <w:rPr>
          <w:rFonts w:ascii="Arial" w:hAnsi="Arial" w:cs="Arial"/>
          <w:sz w:val="20"/>
          <w:szCs w:val="20"/>
        </w:rPr>
        <w:t>stage</w:t>
      </w:r>
      <w:proofErr w:type="spellEnd"/>
      <w:r w:rsidR="00341EEC" w:rsidRPr="00901924">
        <w:rPr>
          <w:rFonts w:ascii="Arial" w:hAnsi="Arial" w:cs="Arial"/>
          <w:sz w:val="20"/>
          <w:szCs w:val="20"/>
        </w:rPr>
        <w:t>); (ii) etapas posteriores, donde ya existe algún nivel más significativo de ventas e incluso en situación de break-</w:t>
      </w:r>
      <w:proofErr w:type="spellStart"/>
      <w:r w:rsidR="00341EEC" w:rsidRPr="00901924">
        <w:rPr>
          <w:rFonts w:ascii="Arial" w:hAnsi="Arial" w:cs="Arial"/>
          <w:sz w:val="20"/>
          <w:szCs w:val="20"/>
        </w:rPr>
        <w:t>even</w:t>
      </w:r>
      <w:proofErr w:type="spellEnd"/>
      <w:r w:rsidR="00341EEC" w:rsidRPr="00901924">
        <w:rPr>
          <w:rFonts w:ascii="Arial" w:hAnsi="Arial" w:cs="Arial"/>
          <w:sz w:val="20"/>
          <w:szCs w:val="20"/>
        </w:rPr>
        <w:t xml:space="preserve"> (</w:t>
      </w:r>
      <w:proofErr w:type="spellStart"/>
      <w:r w:rsidR="00341EEC" w:rsidRPr="00901924">
        <w:rPr>
          <w:rFonts w:ascii="Arial" w:hAnsi="Arial" w:cs="Arial"/>
          <w:sz w:val="20"/>
          <w:szCs w:val="20"/>
        </w:rPr>
        <w:t>later</w:t>
      </w:r>
      <w:proofErr w:type="spellEnd"/>
      <w:r w:rsidR="00341EEC" w:rsidRPr="00901924">
        <w:rPr>
          <w:rFonts w:ascii="Arial" w:hAnsi="Arial" w:cs="Arial"/>
          <w:sz w:val="20"/>
          <w:szCs w:val="20"/>
        </w:rPr>
        <w:t xml:space="preserve"> </w:t>
      </w:r>
      <w:proofErr w:type="spellStart"/>
      <w:r w:rsidR="00341EEC" w:rsidRPr="00901924">
        <w:rPr>
          <w:rFonts w:ascii="Arial" w:hAnsi="Arial" w:cs="Arial"/>
          <w:sz w:val="20"/>
          <w:szCs w:val="20"/>
        </w:rPr>
        <w:t>stage</w:t>
      </w:r>
      <w:proofErr w:type="spellEnd"/>
      <w:r w:rsidR="00341EEC" w:rsidRPr="00901924">
        <w:rPr>
          <w:rFonts w:ascii="Arial" w:hAnsi="Arial" w:cs="Arial"/>
          <w:sz w:val="20"/>
          <w:szCs w:val="20"/>
        </w:rPr>
        <w:t>); o (iii) etapas donde existen ventas de nivel significativo e incluso puede que utilidades, pero se requiere una inversión significativa para su expansión y crecimiento (</w:t>
      </w:r>
      <w:proofErr w:type="spellStart"/>
      <w:r w:rsidR="00341EEC" w:rsidRPr="00901924">
        <w:rPr>
          <w:rFonts w:ascii="Arial" w:hAnsi="Arial" w:cs="Arial"/>
          <w:sz w:val="20"/>
          <w:szCs w:val="20"/>
        </w:rPr>
        <w:t>growth</w:t>
      </w:r>
      <w:proofErr w:type="spellEnd"/>
      <w:r w:rsidR="00341EEC" w:rsidRPr="00901924">
        <w:rPr>
          <w:rFonts w:ascii="Arial" w:hAnsi="Arial" w:cs="Arial"/>
          <w:sz w:val="20"/>
          <w:szCs w:val="20"/>
        </w:rPr>
        <w:t xml:space="preserve"> </w:t>
      </w:r>
      <w:proofErr w:type="spellStart"/>
      <w:r w:rsidR="00341EEC" w:rsidRPr="00901924">
        <w:rPr>
          <w:rFonts w:ascii="Arial" w:hAnsi="Arial" w:cs="Arial"/>
          <w:sz w:val="20"/>
          <w:szCs w:val="20"/>
        </w:rPr>
        <w:t>stage</w:t>
      </w:r>
      <w:proofErr w:type="spellEnd"/>
      <w:r w:rsidR="00341EEC" w:rsidRPr="00901924">
        <w:rPr>
          <w:rFonts w:ascii="Arial" w:hAnsi="Arial" w:cs="Arial"/>
          <w:sz w:val="20"/>
          <w:szCs w:val="20"/>
        </w:rPr>
        <w:t>).</w:t>
      </w:r>
    </w:p>
    <w:p w14:paraId="6B5AD36F" w14:textId="77777777" w:rsidR="006056E6" w:rsidRPr="00901924" w:rsidRDefault="006056E6" w:rsidP="006056E6">
      <w:pPr>
        <w:spacing w:after="0" w:line="240" w:lineRule="auto"/>
        <w:jc w:val="both"/>
        <w:rPr>
          <w:rFonts w:ascii="Arial" w:hAnsi="Arial" w:cs="Arial"/>
          <w:sz w:val="20"/>
          <w:szCs w:val="20"/>
        </w:rPr>
      </w:pPr>
    </w:p>
    <w:p w14:paraId="166E2DCE" w14:textId="3DF8D8A4" w:rsidR="006056E6" w:rsidRPr="00901924" w:rsidRDefault="003A3C7A" w:rsidP="006056E6">
      <w:pPr>
        <w:pStyle w:val="Prrafodelista"/>
        <w:numPr>
          <w:ilvl w:val="0"/>
          <w:numId w:val="1"/>
        </w:numPr>
        <w:spacing w:after="0" w:line="240" w:lineRule="auto"/>
        <w:jc w:val="both"/>
        <w:rPr>
          <w:rFonts w:ascii="Arial" w:hAnsi="Arial" w:cs="Arial"/>
          <w:sz w:val="20"/>
          <w:szCs w:val="20"/>
        </w:rPr>
      </w:pPr>
      <w:r w:rsidRPr="00901924">
        <w:rPr>
          <w:rFonts w:ascii="Arial" w:hAnsi="Arial" w:cs="Arial"/>
          <w:sz w:val="20"/>
          <w:szCs w:val="20"/>
        </w:rPr>
        <w:t>Este tipo de inversiones son</w:t>
      </w:r>
      <w:r w:rsidR="006056E6" w:rsidRPr="00901924">
        <w:rPr>
          <w:rFonts w:ascii="Arial" w:hAnsi="Arial" w:cs="Arial"/>
          <w:sz w:val="20"/>
          <w:szCs w:val="20"/>
        </w:rPr>
        <w:t xml:space="preserve"> de “alto retorno – alto riesgo”, </w:t>
      </w:r>
      <w:r w:rsidR="00BF0A03" w:rsidRPr="00901924">
        <w:rPr>
          <w:rFonts w:ascii="Arial" w:hAnsi="Arial" w:cs="Arial"/>
          <w:sz w:val="20"/>
          <w:szCs w:val="20"/>
        </w:rPr>
        <w:t xml:space="preserve">por lo que </w:t>
      </w:r>
      <w:r w:rsidR="006056E6" w:rsidRPr="00901924">
        <w:rPr>
          <w:rFonts w:ascii="Arial" w:hAnsi="Arial" w:cs="Arial"/>
          <w:sz w:val="20"/>
          <w:szCs w:val="20"/>
        </w:rPr>
        <w:t xml:space="preserve">los retornos sobre las inversiones no se miden </w:t>
      </w:r>
      <w:r w:rsidR="00BF0A03" w:rsidRPr="00901924">
        <w:rPr>
          <w:rFonts w:ascii="Arial" w:hAnsi="Arial" w:cs="Arial"/>
          <w:sz w:val="20"/>
          <w:szCs w:val="20"/>
        </w:rPr>
        <w:t>com</w:t>
      </w:r>
      <w:r w:rsidR="00374C1D" w:rsidRPr="00901924">
        <w:rPr>
          <w:rFonts w:ascii="Arial" w:hAnsi="Arial" w:cs="Arial"/>
          <w:sz w:val="20"/>
          <w:szCs w:val="20"/>
        </w:rPr>
        <w:t>ú</w:t>
      </w:r>
      <w:r w:rsidR="00BF0A03" w:rsidRPr="00901924">
        <w:rPr>
          <w:rFonts w:ascii="Arial" w:hAnsi="Arial" w:cs="Arial"/>
          <w:sz w:val="20"/>
          <w:szCs w:val="20"/>
        </w:rPr>
        <w:t xml:space="preserve">nmente en la </w:t>
      </w:r>
      <w:r w:rsidR="006056E6" w:rsidRPr="00901924">
        <w:rPr>
          <w:rFonts w:ascii="Arial" w:hAnsi="Arial" w:cs="Arial"/>
          <w:sz w:val="20"/>
          <w:szCs w:val="20"/>
        </w:rPr>
        <w:t xml:space="preserve">TIR </w:t>
      </w:r>
      <w:r w:rsidR="00BF0A03" w:rsidRPr="00901924">
        <w:rPr>
          <w:rFonts w:ascii="Arial" w:hAnsi="Arial" w:cs="Arial"/>
          <w:sz w:val="20"/>
          <w:szCs w:val="20"/>
        </w:rPr>
        <w:t xml:space="preserve">asociada </w:t>
      </w:r>
      <w:r w:rsidR="006056E6" w:rsidRPr="00901924">
        <w:rPr>
          <w:rFonts w:ascii="Arial" w:hAnsi="Arial" w:cs="Arial"/>
          <w:sz w:val="20"/>
          <w:szCs w:val="20"/>
        </w:rPr>
        <w:t>a la inver</w:t>
      </w:r>
      <w:r w:rsidR="00265B7D" w:rsidRPr="00901924">
        <w:rPr>
          <w:rFonts w:ascii="Arial" w:hAnsi="Arial" w:cs="Arial"/>
          <w:sz w:val="20"/>
          <w:szCs w:val="20"/>
        </w:rPr>
        <w:t>sión, sino que en múltiplos de inversión.</w:t>
      </w:r>
    </w:p>
    <w:p w14:paraId="1BE001A5" w14:textId="77777777" w:rsidR="00265B7D" w:rsidRPr="00901924" w:rsidRDefault="00265B7D" w:rsidP="00265B7D">
      <w:pPr>
        <w:pStyle w:val="Prrafodelista"/>
        <w:rPr>
          <w:rFonts w:ascii="Arial" w:hAnsi="Arial" w:cs="Arial"/>
          <w:sz w:val="20"/>
          <w:szCs w:val="20"/>
        </w:rPr>
      </w:pPr>
    </w:p>
    <w:p w14:paraId="7BABC731" w14:textId="4BF42C3E" w:rsidR="00265B7D" w:rsidRPr="00901924" w:rsidRDefault="00265B7D" w:rsidP="006056E6">
      <w:pPr>
        <w:pStyle w:val="Prrafodelista"/>
        <w:numPr>
          <w:ilvl w:val="0"/>
          <w:numId w:val="1"/>
        </w:numPr>
        <w:spacing w:after="0" w:line="240" w:lineRule="auto"/>
        <w:jc w:val="both"/>
        <w:rPr>
          <w:rFonts w:ascii="Arial" w:hAnsi="Arial" w:cs="Arial"/>
          <w:sz w:val="20"/>
          <w:szCs w:val="20"/>
        </w:rPr>
      </w:pPr>
      <w:r w:rsidRPr="00901924">
        <w:rPr>
          <w:rFonts w:ascii="Arial" w:hAnsi="Arial" w:cs="Arial"/>
          <w:sz w:val="20"/>
          <w:szCs w:val="20"/>
        </w:rPr>
        <w:t xml:space="preserve">Una parte fundamental de cualquier consideración de inversión es el o los fundadores de la empresa en que se invierta. Por ello, cualquier decisión de inversión supone privilegiar la posición de dichos fundadores en la empresa, el porcentaje de </w:t>
      </w:r>
      <w:r w:rsidR="00036506" w:rsidRPr="00901924">
        <w:rPr>
          <w:rFonts w:ascii="Arial" w:hAnsi="Arial" w:cs="Arial"/>
          <w:sz w:val="20"/>
          <w:szCs w:val="20"/>
        </w:rPr>
        <w:t xml:space="preserve">participación </w:t>
      </w:r>
      <w:r w:rsidRPr="00901924">
        <w:rPr>
          <w:rFonts w:ascii="Arial" w:hAnsi="Arial" w:cs="Arial"/>
          <w:sz w:val="20"/>
          <w:szCs w:val="20"/>
        </w:rPr>
        <w:t xml:space="preserve">que mantendrán </w:t>
      </w:r>
      <w:r w:rsidR="00036506" w:rsidRPr="00901924">
        <w:rPr>
          <w:rFonts w:ascii="Arial" w:hAnsi="Arial" w:cs="Arial"/>
          <w:sz w:val="20"/>
          <w:szCs w:val="20"/>
        </w:rPr>
        <w:t>luego de la inversión,</w:t>
      </w:r>
      <w:r w:rsidRPr="00901924">
        <w:rPr>
          <w:rFonts w:ascii="Arial" w:hAnsi="Arial" w:cs="Arial"/>
          <w:sz w:val="20"/>
          <w:szCs w:val="20"/>
        </w:rPr>
        <w:t xml:space="preserve"> y que tan invasivas son las medidas de protección o derechos que el inversionista </w:t>
      </w:r>
      <w:r w:rsidR="003A3C7A" w:rsidRPr="00901924">
        <w:rPr>
          <w:rFonts w:ascii="Arial" w:hAnsi="Arial" w:cs="Arial"/>
          <w:sz w:val="20"/>
          <w:szCs w:val="20"/>
        </w:rPr>
        <w:t xml:space="preserve">quiera </w:t>
      </w:r>
      <w:r w:rsidRPr="00901924">
        <w:rPr>
          <w:rFonts w:ascii="Arial" w:hAnsi="Arial" w:cs="Arial"/>
          <w:sz w:val="20"/>
          <w:szCs w:val="20"/>
        </w:rPr>
        <w:t>tener</w:t>
      </w:r>
      <w:r w:rsidR="003A3C7A" w:rsidRPr="00901924">
        <w:rPr>
          <w:rFonts w:ascii="Arial" w:hAnsi="Arial" w:cs="Arial"/>
          <w:sz w:val="20"/>
          <w:szCs w:val="20"/>
        </w:rPr>
        <w:t xml:space="preserve"> sobre la empresa</w:t>
      </w:r>
      <w:r w:rsidRPr="00901924">
        <w:rPr>
          <w:rFonts w:ascii="Arial" w:hAnsi="Arial" w:cs="Arial"/>
          <w:sz w:val="20"/>
          <w:szCs w:val="20"/>
        </w:rPr>
        <w:t>.</w:t>
      </w:r>
    </w:p>
    <w:p w14:paraId="0805A21C" w14:textId="77777777" w:rsidR="00265B7D" w:rsidRPr="00901924" w:rsidRDefault="00265B7D" w:rsidP="00265B7D">
      <w:pPr>
        <w:pStyle w:val="Prrafodelista"/>
        <w:rPr>
          <w:rFonts w:ascii="Arial" w:hAnsi="Arial" w:cs="Arial"/>
          <w:sz w:val="20"/>
          <w:szCs w:val="20"/>
        </w:rPr>
      </w:pPr>
    </w:p>
    <w:p w14:paraId="5B28B0A9" w14:textId="77777777" w:rsidR="00265B7D" w:rsidRPr="00901924" w:rsidRDefault="00265B7D" w:rsidP="00265B7D">
      <w:pPr>
        <w:pStyle w:val="Prrafodelista"/>
        <w:spacing w:after="0" w:line="240" w:lineRule="auto"/>
        <w:jc w:val="both"/>
        <w:rPr>
          <w:rFonts w:ascii="Arial" w:hAnsi="Arial" w:cs="Arial"/>
          <w:sz w:val="20"/>
          <w:szCs w:val="20"/>
        </w:rPr>
      </w:pPr>
      <w:r w:rsidRPr="00901924">
        <w:rPr>
          <w:rFonts w:ascii="Arial" w:hAnsi="Arial" w:cs="Arial"/>
          <w:sz w:val="20"/>
          <w:szCs w:val="20"/>
        </w:rPr>
        <w:t>Algunas de estas medidas son:</w:t>
      </w:r>
    </w:p>
    <w:p w14:paraId="430E2ED8" w14:textId="77777777" w:rsidR="00265B7D" w:rsidRPr="00901924" w:rsidRDefault="00265B7D" w:rsidP="00265B7D">
      <w:pPr>
        <w:pStyle w:val="Prrafodelista"/>
        <w:spacing w:after="0" w:line="240" w:lineRule="auto"/>
        <w:jc w:val="both"/>
        <w:rPr>
          <w:rFonts w:ascii="Arial" w:hAnsi="Arial" w:cs="Arial"/>
          <w:sz w:val="20"/>
          <w:szCs w:val="20"/>
        </w:rPr>
      </w:pPr>
    </w:p>
    <w:p w14:paraId="1227DA15" w14:textId="0E49CF7C" w:rsidR="00265B7D" w:rsidRPr="00901924" w:rsidRDefault="00036506" w:rsidP="00265B7D">
      <w:pPr>
        <w:pStyle w:val="Prrafodelista"/>
        <w:numPr>
          <w:ilvl w:val="0"/>
          <w:numId w:val="2"/>
        </w:numPr>
        <w:spacing w:after="0" w:line="240" w:lineRule="auto"/>
        <w:jc w:val="both"/>
        <w:rPr>
          <w:rFonts w:ascii="Arial" w:hAnsi="Arial" w:cs="Arial"/>
          <w:sz w:val="20"/>
          <w:szCs w:val="20"/>
        </w:rPr>
      </w:pPr>
      <w:r w:rsidRPr="00901924">
        <w:rPr>
          <w:rFonts w:ascii="Arial" w:hAnsi="Arial" w:cs="Arial"/>
          <w:sz w:val="20"/>
          <w:szCs w:val="20"/>
        </w:rPr>
        <w:t>F</w:t>
      </w:r>
      <w:r w:rsidR="00265B7D" w:rsidRPr="00901924">
        <w:rPr>
          <w:rFonts w:ascii="Arial" w:hAnsi="Arial" w:cs="Arial"/>
          <w:sz w:val="20"/>
          <w:szCs w:val="20"/>
        </w:rPr>
        <w:t>inanciamiento</w:t>
      </w:r>
      <w:r w:rsidRPr="00901924">
        <w:rPr>
          <w:rFonts w:ascii="Arial" w:hAnsi="Arial" w:cs="Arial"/>
          <w:sz w:val="20"/>
          <w:szCs w:val="20"/>
        </w:rPr>
        <w:t xml:space="preserve">s en base a ronda sucesivas de inversión que </w:t>
      </w:r>
      <w:r w:rsidR="00265B7D" w:rsidRPr="00901924">
        <w:rPr>
          <w:rFonts w:ascii="Arial" w:hAnsi="Arial" w:cs="Arial"/>
          <w:sz w:val="20"/>
          <w:szCs w:val="20"/>
        </w:rPr>
        <w:t>supone</w:t>
      </w:r>
      <w:r w:rsidRPr="00901924">
        <w:rPr>
          <w:rFonts w:ascii="Arial" w:hAnsi="Arial" w:cs="Arial"/>
          <w:sz w:val="20"/>
          <w:szCs w:val="20"/>
        </w:rPr>
        <w:t>n</w:t>
      </w:r>
      <w:r w:rsidR="00265B7D" w:rsidRPr="00901924">
        <w:rPr>
          <w:rFonts w:ascii="Arial" w:hAnsi="Arial" w:cs="Arial"/>
          <w:sz w:val="20"/>
          <w:szCs w:val="20"/>
        </w:rPr>
        <w:t xml:space="preserve"> </w:t>
      </w:r>
      <w:r w:rsidR="005E6FB8" w:rsidRPr="00901924">
        <w:rPr>
          <w:rFonts w:ascii="Arial" w:hAnsi="Arial" w:cs="Arial"/>
          <w:sz w:val="20"/>
          <w:szCs w:val="20"/>
        </w:rPr>
        <w:t>unas inversiones</w:t>
      </w:r>
      <w:r w:rsidRPr="00901924">
        <w:rPr>
          <w:rFonts w:ascii="Arial" w:hAnsi="Arial" w:cs="Arial"/>
          <w:sz w:val="20"/>
          <w:szCs w:val="20"/>
        </w:rPr>
        <w:t xml:space="preserve"> </w:t>
      </w:r>
      <w:bookmarkStart w:id="0" w:name="_GoBack"/>
      <w:bookmarkEnd w:id="0"/>
      <w:r w:rsidR="00265B7D" w:rsidRPr="00901924">
        <w:rPr>
          <w:rFonts w:ascii="Arial" w:hAnsi="Arial" w:cs="Arial"/>
          <w:sz w:val="20"/>
          <w:szCs w:val="20"/>
        </w:rPr>
        <w:t xml:space="preserve">de entre un 10 y </w:t>
      </w:r>
      <w:r w:rsidRPr="00901924">
        <w:rPr>
          <w:rFonts w:ascii="Arial" w:hAnsi="Arial" w:cs="Arial"/>
          <w:sz w:val="20"/>
          <w:szCs w:val="20"/>
        </w:rPr>
        <w:t>un 30</w:t>
      </w:r>
      <w:r w:rsidR="00265B7D" w:rsidRPr="00901924">
        <w:rPr>
          <w:rFonts w:ascii="Arial" w:hAnsi="Arial" w:cs="Arial"/>
          <w:sz w:val="20"/>
          <w:szCs w:val="20"/>
        </w:rPr>
        <w:t xml:space="preserve">% </w:t>
      </w:r>
      <w:r w:rsidRPr="00901924">
        <w:rPr>
          <w:rFonts w:ascii="Arial" w:hAnsi="Arial" w:cs="Arial"/>
          <w:sz w:val="20"/>
          <w:szCs w:val="20"/>
        </w:rPr>
        <w:t>del capital de</w:t>
      </w:r>
      <w:r w:rsidR="00265B7D" w:rsidRPr="00901924">
        <w:rPr>
          <w:rFonts w:ascii="Arial" w:hAnsi="Arial" w:cs="Arial"/>
          <w:sz w:val="20"/>
          <w:szCs w:val="20"/>
        </w:rPr>
        <w:t xml:space="preserve"> la empresa</w:t>
      </w:r>
      <w:r w:rsidRPr="00901924">
        <w:rPr>
          <w:rFonts w:ascii="Arial" w:hAnsi="Arial" w:cs="Arial"/>
          <w:sz w:val="20"/>
          <w:szCs w:val="20"/>
        </w:rPr>
        <w:t xml:space="preserve"> para cada una de las rondas</w:t>
      </w:r>
      <w:r w:rsidR="00265B7D" w:rsidRPr="00901924">
        <w:rPr>
          <w:rFonts w:ascii="Arial" w:hAnsi="Arial" w:cs="Arial"/>
          <w:sz w:val="20"/>
          <w:szCs w:val="20"/>
        </w:rPr>
        <w:t>;</w:t>
      </w:r>
    </w:p>
    <w:p w14:paraId="1DE6014B" w14:textId="0F972CBD" w:rsidR="00265B7D" w:rsidRPr="00901924" w:rsidRDefault="00265B7D" w:rsidP="00265B7D">
      <w:pPr>
        <w:pStyle w:val="Prrafodelista"/>
        <w:numPr>
          <w:ilvl w:val="0"/>
          <w:numId w:val="2"/>
        </w:numPr>
        <w:spacing w:after="0" w:line="240" w:lineRule="auto"/>
        <w:jc w:val="both"/>
        <w:rPr>
          <w:rFonts w:ascii="Arial" w:hAnsi="Arial" w:cs="Arial"/>
          <w:sz w:val="20"/>
          <w:szCs w:val="20"/>
        </w:rPr>
      </w:pPr>
      <w:r w:rsidRPr="00901924">
        <w:rPr>
          <w:rFonts w:ascii="Arial" w:hAnsi="Arial" w:cs="Arial"/>
          <w:sz w:val="20"/>
          <w:szCs w:val="20"/>
        </w:rPr>
        <w:t xml:space="preserve">El ideal es que </w:t>
      </w:r>
      <w:r w:rsidR="00663D2D" w:rsidRPr="00901924">
        <w:rPr>
          <w:rFonts w:ascii="Arial" w:hAnsi="Arial" w:cs="Arial"/>
          <w:sz w:val="20"/>
          <w:szCs w:val="20"/>
        </w:rPr>
        <w:t xml:space="preserve">en las etapas tempranas </w:t>
      </w:r>
      <w:r w:rsidRPr="00901924">
        <w:rPr>
          <w:rFonts w:ascii="Arial" w:hAnsi="Arial" w:cs="Arial"/>
          <w:sz w:val="20"/>
          <w:szCs w:val="20"/>
        </w:rPr>
        <w:t xml:space="preserve">los fundadores tengan además de un porcentaje mayoritario de </w:t>
      </w:r>
      <w:r w:rsidR="00036506" w:rsidRPr="00901924">
        <w:rPr>
          <w:rFonts w:ascii="Arial" w:hAnsi="Arial" w:cs="Arial"/>
          <w:sz w:val="20"/>
          <w:szCs w:val="20"/>
        </w:rPr>
        <w:t>las acciones de la empresa</w:t>
      </w:r>
      <w:r w:rsidRPr="00901924">
        <w:rPr>
          <w:rFonts w:ascii="Arial" w:hAnsi="Arial" w:cs="Arial"/>
          <w:sz w:val="20"/>
          <w:szCs w:val="20"/>
        </w:rPr>
        <w:t>, acceso a un ESOP</w:t>
      </w:r>
      <w:r w:rsidR="00E9009E" w:rsidRPr="00901924">
        <w:rPr>
          <w:rFonts w:ascii="Arial" w:hAnsi="Arial" w:cs="Arial"/>
          <w:sz w:val="20"/>
          <w:szCs w:val="20"/>
        </w:rPr>
        <w:t xml:space="preserve"> (plan de </w:t>
      </w:r>
      <w:r w:rsidR="00036506" w:rsidRPr="00901924">
        <w:rPr>
          <w:rFonts w:ascii="Arial" w:hAnsi="Arial" w:cs="Arial"/>
          <w:sz w:val="20"/>
          <w:szCs w:val="20"/>
        </w:rPr>
        <w:t>compensación por acciones</w:t>
      </w:r>
      <w:r w:rsidR="00E9009E" w:rsidRPr="00901924">
        <w:rPr>
          <w:rFonts w:ascii="Arial" w:hAnsi="Arial" w:cs="Arial"/>
          <w:sz w:val="20"/>
          <w:szCs w:val="20"/>
        </w:rPr>
        <w:t>)</w:t>
      </w:r>
      <w:r w:rsidRPr="00901924">
        <w:rPr>
          <w:rFonts w:ascii="Arial" w:hAnsi="Arial" w:cs="Arial"/>
          <w:sz w:val="20"/>
          <w:szCs w:val="20"/>
        </w:rPr>
        <w:t>, para beneficio propio como de trabajadores clave y asesores</w:t>
      </w:r>
      <w:r w:rsidR="00036506" w:rsidRPr="00901924">
        <w:rPr>
          <w:rFonts w:ascii="Arial" w:hAnsi="Arial" w:cs="Arial"/>
          <w:sz w:val="20"/>
          <w:szCs w:val="20"/>
        </w:rPr>
        <w:t xml:space="preserve"> (habitualmente estos planes van entre un</w:t>
      </w:r>
      <w:r w:rsidRPr="00901924">
        <w:rPr>
          <w:rFonts w:ascii="Arial" w:hAnsi="Arial" w:cs="Arial"/>
          <w:sz w:val="20"/>
          <w:szCs w:val="20"/>
        </w:rPr>
        <w:t xml:space="preserve"> 10</w:t>
      </w:r>
      <w:r w:rsidR="00036506" w:rsidRPr="00901924">
        <w:rPr>
          <w:rFonts w:ascii="Arial" w:hAnsi="Arial" w:cs="Arial"/>
          <w:sz w:val="20"/>
          <w:szCs w:val="20"/>
        </w:rPr>
        <w:t xml:space="preserve"> y un</w:t>
      </w:r>
      <w:r w:rsidR="00493722" w:rsidRPr="00901924">
        <w:rPr>
          <w:rFonts w:ascii="Arial" w:hAnsi="Arial" w:cs="Arial"/>
          <w:sz w:val="20"/>
          <w:szCs w:val="20"/>
        </w:rPr>
        <w:t xml:space="preserve"> </w:t>
      </w:r>
      <w:r w:rsidRPr="00901924">
        <w:rPr>
          <w:rFonts w:ascii="Arial" w:hAnsi="Arial" w:cs="Arial"/>
          <w:sz w:val="20"/>
          <w:szCs w:val="20"/>
        </w:rPr>
        <w:t>15%</w:t>
      </w:r>
      <w:r w:rsidR="00036506" w:rsidRPr="00901924">
        <w:rPr>
          <w:rFonts w:ascii="Arial" w:hAnsi="Arial" w:cs="Arial"/>
          <w:sz w:val="20"/>
          <w:szCs w:val="20"/>
        </w:rPr>
        <w:t xml:space="preserve"> de las acciones de la empresa)</w:t>
      </w:r>
      <w:r w:rsidRPr="00901924">
        <w:rPr>
          <w:rFonts w:ascii="Arial" w:hAnsi="Arial" w:cs="Arial"/>
          <w:sz w:val="20"/>
          <w:szCs w:val="20"/>
        </w:rPr>
        <w:t>;</w:t>
      </w:r>
    </w:p>
    <w:p w14:paraId="5F8C8090" w14:textId="129A0556" w:rsidR="00ED0EC0" w:rsidRPr="00901924" w:rsidRDefault="00036506" w:rsidP="005945ED">
      <w:pPr>
        <w:pStyle w:val="Prrafodelista"/>
        <w:numPr>
          <w:ilvl w:val="0"/>
          <w:numId w:val="2"/>
        </w:numPr>
        <w:spacing w:after="0" w:line="240" w:lineRule="auto"/>
        <w:jc w:val="both"/>
        <w:rPr>
          <w:rFonts w:ascii="Arial" w:hAnsi="Arial" w:cs="Arial"/>
          <w:sz w:val="20"/>
          <w:szCs w:val="20"/>
        </w:rPr>
      </w:pPr>
      <w:r w:rsidRPr="00901924">
        <w:rPr>
          <w:rFonts w:ascii="Arial" w:hAnsi="Arial" w:cs="Arial"/>
          <w:sz w:val="20"/>
          <w:szCs w:val="20"/>
        </w:rPr>
        <w:t>En consideración a esta filosofía de invertir en po</w:t>
      </w:r>
      <w:r w:rsidR="00E946E8" w:rsidRPr="00901924">
        <w:rPr>
          <w:rFonts w:ascii="Arial" w:hAnsi="Arial" w:cs="Arial"/>
          <w:sz w:val="20"/>
          <w:szCs w:val="20"/>
        </w:rPr>
        <w:t>s</w:t>
      </w:r>
      <w:r w:rsidRPr="00901924">
        <w:rPr>
          <w:rFonts w:ascii="Arial" w:hAnsi="Arial" w:cs="Arial"/>
          <w:sz w:val="20"/>
          <w:szCs w:val="20"/>
        </w:rPr>
        <w:t>i</w:t>
      </w:r>
      <w:r w:rsidR="00E946E8" w:rsidRPr="00901924">
        <w:rPr>
          <w:rFonts w:ascii="Arial" w:hAnsi="Arial" w:cs="Arial"/>
          <w:sz w:val="20"/>
          <w:szCs w:val="20"/>
        </w:rPr>
        <w:t>c</w:t>
      </w:r>
      <w:r w:rsidRPr="00901924">
        <w:rPr>
          <w:rFonts w:ascii="Arial" w:hAnsi="Arial" w:cs="Arial"/>
          <w:sz w:val="20"/>
          <w:szCs w:val="20"/>
        </w:rPr>
        <w:t>iones minoritarias, los fondos</w:t>
      </w:r>
      <w:r w:rsidR="00BB7F83" w:rsidRPr="00901924">
        <w:rPr>
          <w:rFonts w:ascii="Arial" w:hAnsi="Arial" w:cs="Arial"/>
          <w:sz w:val="20"/>
          <w:szCs w:val="20"/>
        </w:rPr>
        <w:t xml:space="preserve"> de Venture Capital</w:t>
      </w:r>
      <w:r w:rsidRPr="00901924">
        <w:rPr>
          <w:rFonts w:ascii="Arial" w:hAnsi="Arial" w:cs="Arial"/>
          <w:sz w:val="20"/>
          <w:szCs w:val="20"/>
        </w:rPr>
        <w:t xml:space="preserve"> establecen </w:t>
      </w:r>
      <w:r w:rsidR="00265B7D" w:rsidRPr="00901924">
        <w:rPr>
          <w:rFonts w:ascii="Arial" w:hAnsi="Arial" w:cs="Arial"/>
          <w:sz w:val="20"/>
          <w:szCs w:val="20"/>
        </w:rPr>
        <w:t>medidas de protección</w:t>
      </w:r>
      <w:r w:rsidRPr="00901924">
        <w:rPr>
          <w:rFonts w:ascii="Arial" w:hAnsi="Arial" w:cs="Arial"/>
          <w:sz w:val="20"/>
          <w:szCs w:val="20"/>
        </w:rPr>
        <w:t>, que tienen</w:t>
      </w:r>
      <w:r w:rsidR="00265B7D" w:rsidRPr="00901924">
        <w:rPr>
          <w:rFonts w:ascii="Arial" w:hAnsi="Arial" w:cs="Arial"/>
          <w:sz w:val="20"/>
          <w:szCs w:val="20"/>
        </w:rPr>
        <w:t xml:space="preserve"> </w:t>
      </w:r>
      <w:r w:rsidRPr="00901924">
        <w:rPr>
          <w:rFonts w:ascii="Arial" w:hAnsi="Arial" w:cs="Arial"/>
          <w:sz w:val="20"/>
          <w:szCs w:val="20"/>
        </w:rPr>
        <w:t xml:space="preserve">entre sus </w:t>
      </w:r>
      <w:r w:rsidR="00265B7D" w:rsidRPr="00901924">
        <w:rPr>
          <w:rFonts w:ascii="Arial" w:hAnsi="Arial" w:cs="Arial"/>
          <w:sz w:val="20"/>
          <w:szCs w:val="20"/>
        </w:rPr>
        <w:t>objetivo</w:t>
      </w:r>
      <w:r w:rsidR="00663D2D" w:rsidRPr="00901924">
        <w:rPr>
          <w:rFonts w:ascii="Arial" w:hAnsi="Arial" w:cs="Arial"/>
          <w:sz w:val="20"/>
          <w:szCs w:val="20"/>
        </w:rPr>
        <w:t>s</w:t>
      </w:r>
      <w:r w:rsidR="00265B7D" w:rsidRPr="00901924">
        <w:rPr>
          <w:rFonts w:ascii="Arial" w:hAnsi="Arial" w:cs="Arial"/>
          <w:sz w:val="20"/>
          <w:szCs w:val="20"/>
        </w:rPr>
        <w:t xml:space="preserve"> privilegiar la posición del inversionista frente a un evento de liquidez, </w:t>
      </w:r>
      <w:r w:rsidRPr="00901924">
        <w:rPr>
          <w:rFonts w:ascii="Arial" w:hAnsi="Arial" w:cs="Arial"/>
          <w:sz w:val="20"/>
          <w:szCs w:val="20"/>
        </w:rPr>
        <w:t>y dar ciertas garantías sobre el gobierno corporativo de la empresa y de acceso a la información</w:t>
      </w:r>
      <w:r w:rsidR="00265B7D" w:rsidRPr="00901924">
        <w:rPr>
          <w:rFonts w:ascii="Arial" w:hAnsi="Arial" w:cs="Arial"/>
          <w:sz w:val="20"/>
          <w:szCs w:val="20"/>
        </w:rPr>
        <w:t xml:space="preserve">. </w:t>
      </w:r>
      <w:r w:rsidRPr="00901924">
        <w:rPr>
          <w:rFonts w:ascii="Arial" w:hAnsi="Arial" w:cs="Arial"/>
          <w:sz w:val="20"/>
          <w:szCs w:val="20"/>
        </w:rPr>
        <w:t xml:space="preserve">El </w:t>
      </w:r>
      <w:r w:rsidR="00663D2D" w:rsidRPr="00901924">
        <w:rPr>
          <w:rFonts w:ascii="Arial" w:hAnsi="Arial" w:cs="Arial"/>
          <w:sz w:val="20"/>
          <w:szCs w:val="20"/>
        </w:rPr>
        <w:t>fin de estas medidas es</w:t>
      </w:r>
      <w:r w:rsidRPr="00901924">
        <w:rPr>
          <w:rFonts w:ascii="Arial" w:hAnsi="Arial" w:cs="Arial"/>
          <w:sz w:val="20"/>
          <w:szCs w:val="20"/>
        </w:rPr>
        <w:t xml:space="preserve"> lograr </w:t>
      </w:r>
      <w:r w:rsidR="00663D2D" w:rsidRPr="00901924">
        <w:rPr>
          <w:rFonts w:ascii="Arial" w:hAnsi="Arial" w:cs="Arial"/>
          <w:sz w:val="20"/>
          <w:szCs w:val="20"/>
        </w:rPr>
        <w:t xml:space="preserve">dar </w:t>
      </w:r>
      <w:r w:rsidRPr="00901924">
        <w:rPr>
          <w:rFonts w:ascii="Arial" w:hAnsi="Arial" w:cs="Arial"/>
          <w:sz w:val="20"/>
          <w:szCs w:val="20"/>
        </w:rPr>
        <w:t>g</w:t>
      </w:r>
      <w:r w:rsidR="00E21D9F" w:rsidRPr="00901924">
        <w:rPr>
          <w:rFonts w:ascii="Arial" w:hAnsi="Arial" w:cs="Arial"/>
          <w:sz w:val="20"/>
          <w:szCs w:val="20"/>
        </w:rPr>
        <w:t>a</w:t>
      </w:r>
      <w:r w:rsidRPr="00901924">
        <w:rPr>
          <w:rFonts w:ascii="Arial" w:hAnsi="Arial" w:cs="Arial"/>
          <w:sz w:val="20"/>
          <w:szCs w:val="20"/>
        </w:rPr>
        <w:t xml:space="preserve">rantías suficientes al inversionista, sin crear </w:t>
      </w:r>
      <w:r w:rsidR="00E21D9F" w:rsidRPr="00901924">
        <w:rPr>
          <w:rFonts w:ascii="Arial" w:hAnsi="Arial" w:cs="Arial"/>
          <w:sz w:val="20"/>
          <w:szCs w:val="20"/>
        </w:rPr>
        <w:t>obstáculos</w:t>
      </w:r>
      <w:r w:rsidRPr="00901924">
        <w:rPr>
          <w:rFonts w:ascii="Arial" w:hAnsi="Arial" w:cs="Arial"/>
          <w:sz w:val="20"/>
          <w:szCs w:val="20"/>
        </w:rPr>
        <w:t xml:space="preserve"> en la correcta administración y gestión de la empresa, ya que habitualmente éstas </w:t>
      </w:r>
      <w:r w:rsidR="00ED0EC0" w:rsidRPr="00901924">
        <w:rPr>
          <w:rFonts w:ascii="Arial" w:hAnsi="Arial" w:cs="Arial"/>
          <w:sz w:val="20"/>
          <w:szCs w:val="20"/>
        </w:rPr>
        <w:t>se benefician de la velocidad para la toma de decisiones como una ventaja competitiva por sobre competidores de mayor tamaño.</w:t>
      </w:r>
      <w:r w:rsidR="00AA3FF6" w:rsidRPr="00901924">
        <w:rPr>
          <w:rFonts w:ascii="Arial" w:hAnsi="Arial" w:cs="Arial"/>
          <w:sz w:val="20"/>
          <w:szCs w:val="20"/>
        </w:rPr>
        <w:t xml:space="preserve"> </w:t>
      </w:r>
    </w:p>
    <w:p w14:paraId="2C2D0767" w14:textId="4904CF2D" w:rsidR="00AA3FF6" w:rsidRPr="00901924" w:rsidRDefault="00ED0EC0" w:rsidP="005945ED">
      <w:pPr>
        <w:pStyle w:val="Prrafodelista"/>
        <w:spacing w:after="0" w:line="240" w:lineRule="auto"/>
        <w:ind w:left="1080"/>
        <w:jc w:val="both"/>
        <w:rPr>
          <w:rFonts w:ascii="Arial" w:hAnsi="Arial" w:cs="Arial"/>
          <w:sz w:val="20"/>
          <w:szCs w:val="20"/>
        </w:rPr>
      </w:pPr>
      <w:r w:rsidRPr="00901924">
        <w:rPr>
          <w:rFonts w:ascii="Arial" w:hAnsi="Arial" w:cs="Arial"/>
          <w:sz w:val="20"/>
          <w:szCs w:val="20"/>
        </w:rPr>
        <w:t>En la medida que las empresas van avanzando en sus rondas de inversi</w:t>
      </w:r>
      <w:r w:rsidR="00792F79" w:rsidRPr="00901924">
        <w:rPr>
          <w:rFonts w:ascii="Arial" w:hAnsi="Arial" w:cs="Arial"/>
          <w:sz w:val="20"/>
          <w:szCs w:val="20"/>
        </w:rPr>
        <w:t>ó</w:t>
      </w:r>
      <w:r w:rsidRPr="00901924">
        <w:rPr>
          <w:rFonts w:ascii="Arial" w:hAnsi="Arial" w:cs="Arial"/>
          <w:sz w:val="20"/>
          <w:szCs w:val="20"/>
        </w:rPr>
        <w:t>n</w:t>
      </w:r>
      <w:r w:rsidR="00792F79" w:rsidRPr="00901924">
        <w:rPr>
          <w:rFonts w:ascii="Arial" w:hAnsi="Arial" w:cs="Arial"/>
          <w:sz w:val="20"/>
          <w:szCs w:val="20"/>
        </w:rPr>
        <w:t>, y por consiguiente aumentando el tamaño de las inversiones involucradas,</w:t>
      </w:r>
      <w:r w:rsidR="00AA3FF6" w:rsidRPr="00901924">
        <w:rPr>
          <w:rFonts w:ascii="Arial" w:hAnsi="Arial" w:cs="Arial"/>
          <w:sz w:val="20"/>
          <w:szCs w:val="20"/>
        </w:rPr>
        <w:t xml:space="preserve"> las medidas de protección </w:t>
      </w:r>
      <w:r w:rsidR="00792F79" w:rsidRPr="00901924">
        <w:rPr>
          <w:rFonts w:ascii="Arial" w:hAnsi="Arial" w:cs="Arial"/>
          <w:sz w:val="20"/>
          <w:szCs w:val="20"/>
        </w:rPr>
        <w:t>se van haciendo más intensas</w:t>
      </w:r>
      <w:r w:rsidR="00AA3FF6" w:rsidRPr="00901924">
        <w:rPr>
          <w:rFonts w:ascii="Arial" w:hAnsi="Arial" w:cs="Arial"/>
          <w:sz w:val="20"/>
          <w:szCs w:val="20"/>
        </w:rPr>
        <w:t>.</w:t>
      </w:r>
    </w:p>
    <w:p w14:paraId="5681D442" w14:textId="77777777" w:rsidR="009E6CC1" w:rsidRPr="00901924" w:rsidRDefault="009E6CC1" w:rsidP="00AA3FF6">
      <w:pPr>
        <w:spacing w:after="0" w:line="240" w:lineRule="auto"/>
        <w:ind w:left="720"/>
        <w:jc w:val="both"/>
        <w:rPr>
          <w:rFonts w:ascii="Arial" w:hAnsi="Arial" w:cs="Arial"/>
          <w:sz w:val="20"/>
          <w:szCs w:val="20"/>
        </w:rPr>
      </w:pPr>
    </w:p>
    <w:p w14:paraId="4DB8B9A6" w14:textId="000E118B" w:rsidR="00792F79" w:rsidRPr="00901924" w:rsidRDefault="00792F79" w:rsidP="005945ED">
      <w:pPr>
        <w:spacing w:after="0" w:line="240" w:lineRule="auto"/>
        <w:jc w:val="both"/>
        <w:rPr>
          <w:rFonts w:ascii="Arial" w:hAnsi="Arial" w:cs="Arial"/>
          <w:sz w:val="20"/>
          <w:szCs w:val="20"/>
        </w:rPr>
      </w:pPr>
      <w:r w:rsidRPr="00901924">
        <w:rPr>
          <w:rFonts w:ascii="Arial" w:hAnsi="Arial" w:cs="Arial"/>
          <w:sz w:val="20"/>
          <w:szCs w:val="20"/>
        </w:rPr>
        <w:t xml:space="preserve">Estamos haciendo un esfuerzo como industria de utilizar no sólo los </w:t>
      </w:r>
      <w:r w:rsidR="006D2C86" w:rsidRPr="00901924">
        <w:rPr>
          <w:rFonts w:ascii="Arial" w:hAnsi="Arial" w:cs="Arial"/>
          <w:sz w:val="20"/>
          <w:szCs w:val="20"/>
        </w:rPr>
        <w:t>estándares,</w:t>
      </w:r>
      <w:r w:rsidRPr="00901924">
        <w:rPr>
          <w:rFonts w:ascii="Arial" w:hAnsi="Arial" w:cs="Arial"/>
          <w:sz w:val="20"/>
          <w:szCs w:val="20"/>
        </w:rPr>
        <w:t xml:space="preserve"> sino que además las mejores </w:t>
      </w:r>
      <w:r w:rsidR="00E21D9F" w:rsidRPr="00901924">
        <w:rPr>
          <w:rFonts w:ascii="Arial" w:hAnsi="Arial" w:cs="Arial"/>
          <w:sz w:val="20"/>
          <w:szCs w:val="20"/>
        </w:rPr>
        <w:t>prácticas</w:t>
      </w:r>
      <w:r w:rsidRPr="00901924">
        <w:rPr>
          <w:rFonts w:ascii="Arial" w:hAnsi="Arial" w:cs="Arial"/>
          <w:sz w:val="20"/>
          <w:szCs w:val="20"/>
        </w:rPr>
        <w:t xml:space="preserve"> de </w:t>
      </w:r>
      <w:r w:rsidR="009E6CC1" w:rsidRPr="00901924">
        <w:rPr>
          <w:rFonts w:ascii="Arial" w:hAnsi="Arial" w:cs="Arial"/>
          <w:sz w:val="20"/>
          <w:szCs w:val="20"/>
        </w:rPr>
        <w:t xml:space="preserve">inversión de Venture Capital a nivel internacional, tanto para inversiones ángel, </w:t>
      </w:r>
      <w:proofErr w:type="spellStart"/>
      <w:r w:rsidR="009E6CC1" w:rsidRPr="00901924">
        <w:rPr>
          <w:rFonts w:ascii="Arial" w:hAnsi="Arial" w:cs="Arial"/>
          <w:sz w:val="20"/>
          <w:szCs w:val="20"/>
        </w:rPr>
        <w:t>Seed</w:t>
      </w:r>
      <w:proofErr w:type="spellEnd"/>
      <w:r w:rsidR="009E6CC1" w:rsidRPr="00901924">
        <w:rPr>
          <w:rFonts w:ascii="Arial" w:hAnsi="Arial" w:cs="Arial"/>
          <w:sz w:val="20"/>
          <w:szCs w:val="20"/>
        </w:rPr>
        <w:t xml:space="preserve">, A, B o posteriores. </w:t>
      </w:r>
    </w:p>
    <w:p w14:paraId="42B6EEB2" w14:textId="77777777" w:rsidR="00725FB3" w:rsidRPr="00901924" w:rsidRDefault="00725FB3" w:rsidP="005945ED">
      <w:pPr>
        <w:spacing w:after="0" w:line="240" w:lineRule="auto"/>
        <w:jc w:val="both"/>
        <w:rPr>
          <w:rFonts w:ascii="Arial" w:hAnsi="Arial" w:cs="Arial"/>
          <w:sz w:val="20"/>
          <w:szCs w:val="20"/>
        </w:rPr>
      </w:pPr>
    </w:p>
    <w:p w14:paraId="7EEFF0E3" w14:textId="23E60B4B" w:rsidR="009E6CC1" w:rsidRPr="00901924" w:rsidRDefault="00792F79" w:rsidP="005945ED">
      <w:pPr>
        <w:spacing w:after="0" w:line="240" w:lineRule="auto"/>
        <w:jc w:val="both"/>
        <w:rPr>
          <w:rFonts w:ascii="Arial" w:hAnsi="Arial" w:cs="Arial"/>
          <w:sz w:val="20"/>
          <w:szCs w:val="20"/>
        </w:rPr>
      </w:pPr>
      <w:r w:rsidRPr="00901924">
        <w:rPr>
          <w:rFonts w:ascii="Arial" w:hAnsi="Arial" w:cs="Arial"/>
          <w:sz w:val="20"/>
          <w:szCs w:val="20"/>
        </w:rPr>
        <w:lastRenderedPageBreak/>
        <w:t xml:space="preserve">Este esfuerzo tiene como objetivo permitir que las compañías en que se invierta puedan obtener nuevas rondas de financiamiento o </w:t>
      </w:r>
      <w:r w:rsidR="009E6CC1" w:rsidRPr="00901924">
        <w:rPr>
          <w:rFonts w:ascii="Arial" w:hAnsi="Arial" w:cs="Arial"/>
          <w:sz w:val="20"/>
          <w:szCs w:val="20"/>
        </w:rPr>
        <w:t>eventos de liquidez</w:t>
      </w:r>
      <w:r w:rsidRPr="00901924">
        <w:rPr>
          <w:rFonts w:ascii="Arial" w:hAnsi="Arial" w:cs="Arial"/>
          <w:sz w:val="20"/>
          <w:szCs w:val="20"/>
        </w:rPr>
        <w:t xml:space="preserve"> de fondos de inversión u otros actores internacionales.</w:t>
      </w:r>
      <w:r w:rsidR="009E6CC1" w:rsidRPr="00901924">
        <w:rPr>
          <w:rFonts w:ascii="Arial" w:hAnsi="Arial" w:cs="Arial"/>
          <w:sz w:val="20"/>
          <w:szCs w:val="20"/>
        </w:rPr>
        <w:t xml:space="preserve"> </w:t>
      </w:r>
    </w:p>
    <w:p w14:paraId="55F92694" w14:textId="77777777" w:rsidR="00E9009E" w:rsidRPr="00901924" w:rsidRDefault="00E9009E" w:rsidP="00E9009E">
      <w:pPr>
        <w:spacing w:after="0" w:line="240" w:lineRule="auto"/>
        <w:jc w:val="both"/>
        <w:rPr>
          <w:rFonts w:ascii="Arial" w:hAnsi="Arial" w:cs="Arial"/>
          <w:sz w:val="20"/>
          <w:szCs w:val="20"/>
        </w:rPr>
      </w:pPr>
    </w:p>
    <w:p w14:paraId="5249EE2E" w14:textId="2A2DF065" w:rsidR="00E9009E" w:rsidRPr="00901924" w:rsidRDefault="00E9009E" w:rsidP="00E9009E">
      <w:pPr>
        <w:spacing w:after="0" w:line="240" w:lineRule="auto"/>
        <w:jc w:val="both"/>
        <w:rPr>
          <w:rFonts w:ascii="Arial" w:hAnsi="Arial" w:cs="Arial"/>
          <w:sz w:val="20"/>
          <w:szCs w:val="20"/>
        </w:rPr>
      </w:pPr>
      <w:r w:rsidRPr="00901924">
        <w:rPr>
          <w:rFonts w:ascii="Arial" w:hAnsi="Arial" w:cs="Arial"/>
          <w:sz w:val="20"/>
          <w:szCs w:val="20"/>
        </w:rPr>
        <w:t xml:space="preserve">Estas </w:t>
      </w:r>
      <w:r w:rsidR="00792F79" w:rsidRPr="00901924">
        <w:rPr>
          <w:rFonts w:ascii="Arial" w:hAnsi="Arial" w:cs="Arial"/>
          <w:sz w:val="20"/>
          <w:szCs w:val="20"/>
        </w:rPr>
        <w:t>son algunas de las características de la industria</w:t>
      </w:r>
      <w:r w:rsidRPr="00901924">
        <w:rPr>
          <w:rFonts w:ascii="Arial" w:hAnsi="Arial" w:cs="Arial"/>
          <w:sz w:val="20"/>
          <w:szCs w:val="20"/>
        </w:rPr>
        <w:t xml:space="preserve"> que han permitido el desarrollo vertiginoso </w:t>
      </w:r>
      <w:r w:rsidR="00792F79" w:rsidRPr="00901924">
        <w:rPr>
          <w:rFonts w:ascii="Arial" w:hAnsi="Arial" w:cs="Arial"/>
          <w:sz w:val="20"/>
          <w:szCs w:val="20"/>
        </w:rPr>
        <w:t xml:space="preserve">del Venture Capital </w:t>
      </w:r>
      <w:r w:rsidRPr="00901924">
        <w:rPr>
          <w:rFonts w:ascii="Arial" w:hAnsi="Arial" w:cs="Arial"/>
          <w:sz w:val="20"/>
          <w:szCs w:val="20"/>
        </w:rPr>
        <w:t>en otros lugares, comenzando por Silicon Valley</w:t>
      </w:r>
      <w:r w:rsidR="00792F79" w:rsidRPr="00901924">
        <w:rPr>
          <w:rFonts w:ascii="Arial" w:hAnsi="Arial" w:cs="Arial"/>
          <w:sz w:val="20"/>
          <w:szCs w:val="20"/>
        </w:rPr>
        <w:t>, y creemos</w:t>
      </w:r>
      <w:r w:rsidRPr="00901924">
        <w:rPr>
          <w:rFonts w:ascii="Arial" w:hAnsi="Arial" w:cs="Arial"/>
          <w:sz w:val="20"/>
          <w:szCs w:val="20"/>
        </w:rPr>
        <w:t xml:space="preserve"> </w:t>
      </w:r>
      <w:r w:rsidR="00792F79" w:rsidRPr="00901924">
        <w:rPr>
          <w:rFonts w:ascii="Arial" w:hAnsi="Arial" w:cs="Arial"/>
          <w:sz w:val="20"/>
          <w:szCs w:val="20"/>
        </w:rPr>
        <w:t>nos dará una sólida base para tener</w:t>
      </w:r>
      <w:r w:rsidRPr="00901924">
        <w:rPr>
          <w:rFonts w:ascii="Arial" w:hAnsi="Arial" w:cs="Arial"/>
          <w:sz w:val="20"/>
          <w:szCs w:val="20"/>
        </w:rPr>
        <w:t xml:space="preserve"> más y mejores emprendimientos</w:t>
      </w:r>
      <w:r w:rsidR="00561B16" w:rsidRPr="00901924">
        <w:rPr>
          <w:rFonts w:ascii="Arial" w:hAnsi="Arial" w:cs="Arial"/>
          <w:sz w:val="20"/>
          <w:szCs w:val="20"/>
        </w:rPr>
        <w:t xml:space="preserve"> que</w:t>
      </w:r>
      <w:r w:rsidRPr="00901924">
        <w:rPr>
          <w:rFonts w:ascii="Arial" w:hAnsi="Arial" w:cs="Arial"/>
          <w:sz w:val="20"/>
          <w:szCs w:val="20"/>
        </w:rPr>
        <w:t xml:space="preserve"> no sólo accedan a financiamiento en etapas iniciales, sino que continúen su desarrollo y se conviertan en nuevos casos de éxito para la industria, los emprendedores y </w:t>
      </w:r>
      <w:r w:rsidR="00561B16" w:rsidRPr="00901924">
        <w:rPr>
          <w:rFonts w:ascii="Arial" w:hAnsi="Arial" w:cs="Arial"/>
          <w:sz w:val="20"/>
          <w:szCs w:val="20"/>
        </w:rPr>
        <w:t xml:space="preserve">sus </w:t>
      </w:r>
      <w:r w:rsidRPr="00901924">
        <w:rPr>
          <w:rFonts w:ascii="Arial" w:hAnsi="Arial" w:cs="Arial"/>
          <w:sz w:val="20"/>
          <w:szCs w:val="20"/>
        </w:rPr>
        <w:t>inversionistas.</w:t>
      </w:r>
    </w:p>
    <w:p w14:paraId="4AAD3725" w14:textId="77777777" w:rsidR="00E21D9F" w:rsidRPr="00901924" w:rsidRDefault="00E21D9F" w:rsidP="00E9009E">
      <w:pPr>
        <w:spacing w:after="0" w:line="240" w:lineRule="auto"/>
        <w:jc w:val="both"/>
        <w:rPr>
          <w:rFonts w:ascii="Arial" w:hAnsi="Arial" w:cs="Arial"/>
          <w:sz w:val="20"/>
          <w:szCs w:val="20"/>
        </w:rPr>
      </w:pPr>
    </w:p>
    <w:p w14:paraId="72296CCA" w14:textId="3A3F863B" w:rsidR="00E21D9F" w:rsidRPr="00901924" w:rsidRDefault="00E21D9F">
      <w:pPr>
        <w:rPr>
          <w:rFonts w:ascii="Arial" w:hAnsi="Arial" w:cs="Arial"/>
          <w:sz w:val="20"/>
          <w:szCs w:val="20"/>
        </w:rPr>
      </w:pPr>
      <w:r w:rsidRPr="00901924">
        <w:rPr>
          <w:rFonts w:ascii="Arial" w:hAnsi="Arial" w:cs="Arial"/>
          <w:sz w:val="20"/>
          <w:szCs w:val="20"/>
        </w:rPr>
        <w:br w:type="page"/>
      </w:r>
    </w:p>
    <w:p w14:paraId="4A007FD3" w14:textId="2BBCE721" w:rsidR="000C06DE" w:rsidRPr="00901924" w:rsidRDefault="000C06DE" w:rsidP="000C06DE">
      <w:pPr>
        <w:spacing w:after="0" w:line="240" w:lineRule="auto"/>
        <w:jc w:val="center"/>
        <w:rPr>
          <w:rFonts w:ascii="Arial" w:hAnsi="Arial" w:cs="Arial"/>
          <w:b/>
          <w:sz w:val="20"/>
          <w:szCs w:val="20"/>
        </w:rPr>
      </w:pPr>
      <w:r w:rsidRPr="00901924">
        <w:rPr>
          <w:rFonts w:ascii="Arial" w:hAnsi="Arial" w:cs="Arial"/>
          <w:b/>
          <w:sz w:val="20"/>
          <w:szCs w:val="20"/>
        </w:rPr>
        <w:lastRenderedPageBreak/>
        <w:t>CONSIDERACIONES PARA EL USO DE DOCUMENTOS</w:t>
      </w:r>
    </w:p>
    <w:p w14:paraId="1034A72F" w14:textId="77777777" w:rsidR="000C06DE" w:rsidRPr="00901924" w:rsidRDefault="000C06DE" w:rsidP="00E9009E">
      <w:pPr>
        <w:spacing w:after="0" w:line="240" w:lineRule="auto"/>
        <w:jc w:val="both"/>
        <w:rPr>
          <w:rFonts w:ascii="Arial" w:hAnsi="Arial" w:cs="Arial"/>
          <w:sz w:val="20"/>
          <w:szCs w:val="20"/>
        </w:rPr>
      </w:pPr>
    </w:p>
    <w:p w14:paraId="320D6139" w14:textId="77A6E3C6" w:rsidR="00E21D9F" w:rsidRPr="00901924" w:rsidRDefault="00E21D9F" w:rsidP="00E9009E">
      <w:pPr>
        <w:spacing w:after="0" w:line="240" w:lineRule="auto"/>
        <w:jc w:val="both"/>
        <w:rPr>
          <w:rFonts w:ascii="Arial" w:hAnsi="Arial" w:cs="Arial"/>
          <w:sz w:val="20"/>
          <w:szCs w:val="20"/>
        </w:rPr>
      </w:pPr>
      <w:proofErr w:type="spellStart"/>
      <w:r w:rsidRPr="00901924">
        <w:rPr>
          <w:rFonts w:ascii="Arial" w:hAnsi="Arial" w:cs="Arial"/>
          <w:sz w:val="20"/>
          <w:szCs w:val="20"/>
        </w:rPr>
        <w:t>Acafi</w:t>
      </w:r>
      <w:proofErr w:type="spellEnd"/>
      <w:r w:rsidRPr="00901924">
        <w:rPr>
          <w:rFonts w:ascii="Arial" w:hAnsi="Arial" w:cs="Arial"/>
          <w:sz w:val="20"/>
          <w:szCs w:val="20"/>
        </w:rPr>
        <w:t xml:space="preserve"> está poniendo a disposición tanto de administradoras de fondos de inversión de Venture Capital, como de incubadoras, aceleradoras, redes de inversionistas ángeles, emprendedores, asesores de los anteriores y de cualquier persona interesada en el ecosistema de emprendimiento, una serie de documentos que tienen como objetivo facilitar la inversión de cualquier persona, cualquiera sea su grado de sofisticación, invertir o levantar recursos para emprendimientos.</w:t>
      </w:r>
    </w:p>
    <w:p w14:paraId="32C62C86" w14:textId="77777777" w:rsidR="00E21D9F" w:rsidRPr="00901924" w:rsidRDefault="00E21D9F" w:rsidP="00E9009E">
      <w:pPr>
        <w:spacing w:after="0" w:line="240" w:lineRule="auto"/>
        <w:jc w:val="both"/>
        <w:rPr>
          <w:rFonts w:ascii="Arial" w:hAnsi="Arial" w:cs="Arial"/>
          <w:sz w:val="20"/>
          <w:szCs w:val="20"/>
        </w:rPr>
      </w:pPr>
    </w:p>
    <w:p w14:paraId="587D0DA0" w14:textId="73E557DC" w:rsidR="00E21D9F" w:rsidRPr="00901924" w:rsidRDefault="00E21D9F" w:rsidP="00E9009E">
      <w:pPr>
        <w:spacing w:after="0" w:line="240" w:lineRule="auto"/>
        <w:jc w:val="both"/>
        <w:rPr>
          <w:rFonts w:ascii="Arial" w:hAnsi="Arial" w:cs="Arial"/>
          <w:sz w:val="20"/>
          <w:szCs w:val="20"/>
        </w:rPr>
      </w:pPr>
      <w:r w:rsidRPr="00901924">
        <w:rPr>
          <w:rFonts w:ascii="Arial" w:hAnsi="Arial" w:cs="Arial"/>
          <w:sz w:val="20"/>
          <w:szCs w:val="20"/>
        </w:rPr>
        <w:t>Estos documentos son formatos estándar</w:t>
      </w:r>
      <w:r w:rsidR="000A66D2" w:rsidRPr="00901924">
        <w:rPr>
          <w:rFonts w:ascii="Arial" w:hAnsi="Arial" w:cs="Arial"/>
          <w:sz w:val="20"/>
          <w:szCs w:val="20"/>
        </w:rPr>
        <w:t xml:space="preserve"> creados por las oficinas de abogados BAZ|DLA </w:t>
      </w:r>
      <w:proofErr w:type="spellStart"/>
      <w:r w:rsidR="000A66D2" w:rsidRPr="00901924">
        <w:rPr>
          <w:rFonts w:ascii="Arial" w:hAnsi="Arial" w:cs="Arial"/>
          <w:sz w:val="20"/>
          <w:szCs w:val="20"/>
        </w:rPr>
        <w:t>Piper</w:t>
      </w:r>
      <w:proofErr w:type="spellEnd"/>
      <w:r w:rsidR="000A66D2" w:rsidRPr="00901924">
        <w:rPr>
          <w:rFonts w:ascii="Arial" w:hAnsi="Arial" w:cs="Arial"/>
          <w:sz w:val="20"/>
          <w:szCs w:val="20"/>
        </w:rPr>
        <w:t xml:space="preserve">, AE Legal y </w:t>
      </w:r>
      <w:proofErr w:type="spellStart"/>
      <w:r w:rsidR="000A66D2" w:rsidRPr="00901924">
        <w:rPr>
          <w:rFonts w:ascii="Arial" w:hAnsi="Arial" w:cs="Arial"/>
          <w:sz w:val="20"/>
          <w:szCs w:val="20"/>
        </w:rPr>
        <w:t>Alster</w:t>
      </w:r>
      <w:proofErr w:type="spellEnd"/>
      <w:r w:rsidR="000A66D2" w:rsidRPr="00901924">
        <w:rPr>
          <w:rFonts w:ascii="Arial" w:hAnsi="Arial" w:cs="Arial"/>
          <w:sz w:val="20"/>
          <w:szCs w:val="20"/>
        </w:rPr>
        <w:t xml:space="preserve"> Legal</w:t>
      </w:r>
      <w:r w:rsidRPr="00901924">
        <w:rPr>
          <w:rFonts w:ascii="Arial" w:hAnsi="Arial" w:cs="Arial"/>
          <w:sz w:val="20"/>
          <w:szCs w:val="20"/>
        </w:rPr>
        <w:t xml:space="preserve">, que por lo tanto pueden ser ajustados a las particularidades aplicables al emprendimiento y/o estado en que se encuentren. Estos documentos han sido creados después de meses de discusión entre </w:t>
      </w:r>
      <w:proofErr w:type="spellStart"/>
      <w:r w:rsidRPr="00901924">
        <w:rPr>
          <w:rFonts w:ascii="Arial" w:hAnsi="Arial" w:cs="Arial"/>
          <w:sz w:val="20"/>
          <w:szCs w:val="20"/>
        </w:rPr>
        <w:t>Acafi</w:t>
      </w:r>
      <w:proofErr w:type="spellEnd"/>
      <w:r w:rsidRPr="00901924">
        <w:rPr>
          <w:rFonts w:ascii="Arial" w:hAnsi="Arial" w:cs="Arial"/>
          <w:sz w:val="20"/>
          <w:szCs w:val="20"/>
        </w:rPr>
        <w:t>, firmas de abogados, emprendedores y otros participantes del ecosistema emprendedor, y consideramos que son bastante neutrales en el sentido de no beneficiar ni a los emprendedores ni a los inversionistas. Sin perjuicio de ello, consideramos que son un muy buen punto de partida sin que sean necesarios cambios significativos (o incluso cambio alguno) para que puedan ser usados.</w:t>
      </w:r>
    </w:p>
    <w:p w14:paraId="12A49433" w14:textId="77777777" w:rsidR="00E21D9F" w:rsidRPr="00901924" w:rsidRDefault="00E21D9F" w:rsidP="00E9009E">
      <w:pPr>
        <w:spacing w:after="0" w:line="240" w:lineRule="auto"/>
        <w:jc w:val="both"/>
        <w:rPr>
          <w:rFonts w:ascii="Arial" w:hAnsi="Arial" w:cs="Arial"/>
          <w:sz w:val="20"/>
          <w:szCs w:val="20"/>
        </w:rPr>
      </w:pPr>
    </w:p>
    <w:p w14:paraId="0A3EBE89" w14:textId="36D9AD8B" w:rsidR="00E21D9F" w:rsidRPr="00901924" w:rsidRDefault="00E21D9F" w:rsidP="00E9009E">
      <w:pPr>
        <w:spacing w:after="0" w:line="240" w:lineRule="auto"/>
        <w:jc w:val="both"/>
        <w:rPr>
          <w:rFonts w:ascii="Arial" w:hAnsi="Arial" w:cs="Arial"/>
          <w:sz w:val="20"/>
          <w:szCs w:val="20"/>
        </w:rPr>
      </w:pPr>
      <w:r w:rsidRPr="00901924">
        <w:rPr>
          <w:rFonts w:ascii="Arial" w:hAnsi="Arial" w:cs="Arial"/>
          <w:sz w:val="20"/>
          <w:szCs w:val="20"/>
        </w:rPr>
        <w:t xml:space="preserve">De todas formas, ni </w:t>
      </w:r>
      <w:proofErr w:type="spellStart"/>
      <w:r w:rsidRPr="00901924">
        <w:rPr>
          <w:rFonts w:ascii="Arial" w:hAnsi="Arial" w:cs="Arial"/>
          <w:sz w:val="20"/>
          <w:szCs w:val="20"/>
        </w:rPr>
        <w:t>Acafi</w:t>
      </w:r>
      <w:proofErr w:type="spellEnd"/>
      <w:r w:rsidRPr="00901924">
        <w:rPr>
          <w:rFonts w:ascii="Arial" w:hAnsi="Arial" w:cs="Arial"/>
          <w:sz w:val="20"/>
          <w:szCs w:val="20"/>
        </w:rPr>
        <w:t xml:space="preserve"> ni los participantes en estos documentos asumen responsabilidad alguna por </w:t>
      </w:r>
      <w:r w:rsidR="000A66D2" w:rsidRPr="00901924">
        <w:rPr>
          <w:rFonts w:ascii="Arial" w:hAnsi="Arial" w:cs="Arial"/>
          <w:sz w:val="20"/>
          <w:szCs w:val="20"/>
        </w:rPr>
        <w:t>ellos</w:t>
      </w:r>
      <w:r w:rsidRPr="00901924">
        <w:rPr>
          <w:rFonts w:ascii="Arial" w:hAnsi="Arial" w:cs="Arial"/>
          <w:sz w:val="20"/>
          <w:szCs w:val="20"/>
        </w:rPr>
        <w:t>.</w:t>
      </w:r>
    </w:p>
    <w:p w14:paraId="24203AF4" w14:textId="77777777" w:rsidR="00E21D9F" w:rsidRPr="00901924" w:rsidRDefault="00E21D9F" w:rsidP="00E9009E">
      <w:pPr>
        <w:spacing w:after="0" w:line="240" w:lineRule="auto"/>
        <w:jc w:val="both"/>
        <w:rPr>
          <w:rFonts w:ascii="Arial" w:hAnsi="Arial" w:cs="Arial"/>
          <w:sz w:val="20"/>
          <w:szCs w:val="20"/>
        </w:rPr>
      </w:pPr>
    </w:p>
    <w:p w14:paraId="3D398B86" w14:textId="1EE88A6D" w:rsidR="00E21D9F" w:rsidRPr="00901924" w:rsidRDefault="00E21D9F" w:rsidP="00E9009E">
      <w:pPr>
        <w:spacing w:after="0" w:line="240" w:lineRule="auto"/>
        <w:jc w:val="both"/>
        <w:rPr>
          <w:rFonts w:ascii="Arial" w:hAnsi="Arial" w:cs="Arial"/>
          <w:sz w:val="20"/>
          <w:szCs w:val="20"/>
        </w:rPr>
      </w:pPr>
      <w:r w:rsidRPr="00901924">
        <w:rPr>
          <w:rFonts w:ascii="Arial" w:hAnsi="Arial" w:cs="Arial"/>
          <w:sz w:val="20"/>
          <w:szCs w:val="20"/>
        </w:rPr>
        <w:t>Los documentos que se ponen a disposición, así como la forma o momento en que pueden ser utilizados, son los siguientes:</w:t>
      </w:r>
    </w:p>
    <w:p w14:paraId="1566AC31" w14:textId="77777777" w:rsidR="00E21D9F" w:rsidRPr="00901924" w:rsidRDefault="00E21D9F" w:rsidP="00E9009E">
      <w:pPr>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3652"/>
        <w:gridCol w:w="5326"/>
      </w:tblGrid>
      <w:tr w:rsidR="00E21D9F" w:rsidRPr="00901924" w14:paraId="2F1463EF" w14:textId="77777777" w:rsidTr="000A66D2">
        <w:tc>
          <w:tcPr>
            <w:tcW w:w="3652" w:type="dxa"/>
          </w:tcPr>
          <w:p w14:paraId="11ACC1C6" w14:textId="278BDD6C" w:rsidR="00E21D9F" w:rsidRPr="00901924" w:rsidRDefault="00E21D9F" w:rsidP="000C06DE">
            <w:pPr>
              <w:jc w:val="center"/>
              <w:rPr>
                <w:rFonts w:ascii="Arial" w:hAnsi="Arial" w:cs="Arial"/>
                <w:b/>
                <w:sz w:val="20"/>
                <w:szCs w:val="20"/>
              </w:rPr>
            </w:pPr>
            <w:r w:rsidRPr="00901924">
              <w:rPr>
                <w:rFonts w:ascii="Arial" w:hAnsi="Arial" w:cs="Arial"/>
                <w:b/>
                <w:sz w:val="20"/>
                <w:szCs w:val="20"/>
              </w:rPr>
              <w:t>Documento</w:t>
            </w:r>
          </w:p>
        </w:tc>
        <w:tc>
          <w:tcPr>
            <w:tcW w:w="5326" w:type="dxa"/>
          </w:tcPr>
          <w:p w14:paraId="2B928566" w14:textId="3BBA3FF1" w:rsidR="00E21D9F" w:rsidRPr="00901924" w:rsidRDefault="00E21D9F" w:rsidP="000C06DE">
            <w:pPr>
              <w:jc w:val="center"/>
              <w:rPr>
                <w:rFonts w:ascii="Arial" w:hAnsi="Arial" w:cs="Arial"/>
                <w:b/>
                <w:sz w:val="20"/>
                <w:szCs w:val="20"/>
              </w:rPr>
            </w:pPr>
            <w:r w:rsidRPr="00901924">
              <w:rPr>
                <w:rFonts w:ascii="Arial" w:hAnsi="Arial" w:cs="Arial"/>
                <w:b/>
                <w:sz w:val="20"/>
                <w:szCs w:val="20"/>
              </w:rPr>
              <w:t>Comentarios</w:t>
            </w:r>
          </w:p>
        </w:tc>
      </w:tr>
      <w:tr w:rsidR="00E21D9F" w:rsidRPr="00901924" w14:paraId="3F5EABE2" w14:textId="77777777" w:rsidTr="000A66D2">
        <w:tc>
          <w:tcPr>
            <w:tcW w:w="3652" w:type="dxa"/>
          </w:tcPr>
          <w:p w14:paraId="3C4AA569" w14:textId="7333D3DE" w:rsidR="00E21D9F" w:rsidRPr="00901924" w:rsidRDefault="00E21D9F" w:rsidP="00E9009E">
            <w:pPr>
              <w:jc w:val="both"/>
              <w:rPr>
                <w:rFonts w:ascii="Arial" w:hAnsi="Arial" w:cs="Arial"/>
                <w:sz w:val="20"/>
                <w:szCs w:val="20"/>
              </w:rPr>
            </w:pPr>
            <w:proofErr w:type="spellStart"/>
            <w:r w:rsidRPr="00901924">
              <w:rPr>
                <w:rFonts w:ascii="Arial" w:hAnsi="Arial" w:cs="Arial"/>
                <w:sz w:val="20"/>
                <w:szCs w:val="20"/>
              </w:rPr>
              <w:t>Term</w:t>
            </w:r>
            <w:proofErr w:type="spellEnd"/>
            <w:r w:rsidRPr="00901924">
              <w:rPr>
                <w:rFonts w:ascii="Arial" w:hAnsi="Arial" w:cs="Arial"/>
                <w:sz w:val="20"/>
                <w:szCs w:val="20"/>
              </w:rPr>
              <w:t xml:space="preserve"> </w:t>
            </w:r>
            <w:proofErr w:type="spellStart"/>
            <w:r w:rsidRPr="00901924">
              <w:rPr>
                <w:rFonts w:ascii="Arial" w:hAnsi="Arial" w:cs="Arial"/>
                <w:sz w:val="20"/>
                <w:szCs w:val="20"/>
              </w:rPr>
              <w:t>Sheet</w:t>
            </w:r>
            <w:proofErr w:type="spellEnd"/>
          </w:p>
        </w:tc>
        <w:tc>
          <w:tcPr>
            <w:tcW w:w="5326" w:type="dxa"/>
          </w:tcPr>
          <w:p w14:paraId="7C74DCF9" w14:textId="77777777" w:rsidR="00E21D9F" w:rsidRPr="00901924" w:rsidRDefault="00E21D9F" w:rsidP="00E9009E">
            <w:pPr>
              <w:jc w:val="both"/>
              <w:rPr>
                <w:rFonts w:ascii="Arial" w:hAnsi="Arial" w:cs="Arial"/>
                <w:sz w:val="20"/>
                <w:szCs w:val="20"/>
              </w:rPr>
            </w:pPr>
            <w:r w:rsidRPr="00901924">
              <w:rPr>
                <w:rFonts w:ascii="Arial" w:hAnsi="Arial" w:cs="Arial"/>
                <w:sz w:val="20"/>
                <w:szCs w:val="20"/>
              </w:rPr>
              <w:t xml:space="preserve">El </w:t>
            </w:r>
            <w:proofErr w:type="spellStart"/>
            <w:r w:rsidRPr="00901924">
              <w:rPr>
                <w:rFonts w:ascii="Arial" w:hAnsi="Arial" w:cs="Arial"/>
                <w:sz w:val="20"/>
                <w:szCs w:val="20"/>
              </w:rPr>
              <w:t>Term</w:t>
            </w:r>
            <w:proofErr w:type="spellEnd"/>
            <w:r w:rsidRPr="00901924">
              <w:rPr>
                <w:rFonts w:ascii="Arial" w:hAnsi="Arial" w:cs="Arial"/>
                <w:sz w:val="20"/>
                <w:szCs w:val="20"/>
              </w:rPr>
              <w:t xml:space="preserve"> </w:t>
            </w:r>
            <w:proofErr w:type="spellStart"/>
            <w:r w:rsidRPr="00901924">
              <w:rPr>
                <w:rFonts w:ascii="Arial" w:hAnsi="Arial" w:cs="Arial"/>
                <w:sz w:val="20"/>
                <w:szCs w:val="20"/>
              </w:rPr>
              <w:t>Sheet</w:t>
            </w:r>
            <w:proofErr w:type="spellEnd"/>
            <w:r w:rsidRPr="00901924">
              <w:rPr>
                <w:rFonts w:ascii="Arial" w:hAnsi="Arial" w:cs="Arial"/>
                <w:sz w:val="20"/>
                <w:szCs w:val="20"/>
              </w:rPr>
              <w:t xml:space="preserve"> fija los principales derechos y obligaciones de las partes al entrar en una negociación.</w:t>
            </w:r>
          </w:p>
          <w:p w14:paraId="47C12546" w14:textId="347AE59D" w:rsidR="00E21D9F" w:rsidRPr="00901924" w:rsidRDefault="007210F4" w:rsidP="00E9009E">
            <w:pPr>
              <w:jc w:val="both"/>
              <w:rPr>
                <w:rFonts w:ascii="Arial" w:hAnsi="Arial" w:cs="Arial"/>
                <w:sz w:val="20"/>
                <w:szCs w:val="20"/>
              </w:rPr>
            </w:pPr>
            <w:r w:rsidRPr="00901924">
              <w:rPr>
                <w:rFonts w:ascii="Arial" w:hAnsi="Arial" w:cs="Arial"/>
                <w:sz w:val="20"/>
                <w:szCs w:val="20"/>
              </w:rPr>
              <w:t>Este documento puede o no ser vinculante, pero evita entrar en una negociación de los documentos definitivos sin tener certeza sobre si se tiene acuerdo en los elementos esenciales. Por ello, debería ser un punto de partida en el proceso de levantamiento de capital.</w:t>
            </w:r>
          </w:p>
          <w:p w14:paraId="16B881F7" w14:textId="2806121E" w:rsidR="007210F4" w:rsidRPr="00901924" w:rsidRDefault="007210F4" w:rsidP="00E9009E">
            <w:pPr>
              <w:jc w:val="both"/>
              <w:rPr>
                <w:rFonts w:ascii="Arial" w:hAnsi="Arial" w:cs="Arial"/>
                <w:sz w:val="20"/>
                <w:szCs w:val="20"/>
              </w:rPr>
            </w:pPr>
            <w:r w:rsidRPr="00901924">
              <w:rPr>
                <w:rFonts w:ascii="Arial" w:hAnsi="Arial" w:cs="Arial"/>
                <w:sz w:val="20"/>
                <w:szCs w:val="20"/>
              </w:rPr>
              <w:t xml:space="preserve">Un </w:t>
            </w:r>
            <w:proofErr w:type="spellStart"/>
            <w:r w:rsidRPr="00901924">
              <w:rPr>
                <w:rFonts w:ascii="Arial" w:hAnsi="Arial" w:cs="Arial"/>
                <w:sz w:val="20"/>
                <w:szCs w:val="20"/>
              </w:rPr>
              <w:t>Term</w:t>
            </w:r>
            <w:proofErr w:type="spellEnd"/>
            <w:r w:rsidRPr="00901924">
              <w:rPr>
                <w:rFonts w:ascii="Arial" w:hAnsi="Arial" w:cs="Arial"/>
                <w:sz w:val="20"/>
                <w:szCs w:val="20"/>
              </w:rPr>
              <w:t xml:space="preserve"> </w:t>
            </w:r>
            <w:proofErr w:type="spellStart"/>
            <w:r w:rsidRPr="00901924">
              <w:rPr>
                <w:rFonts w:ascii="Arial" w:hAnsi="Arial" w:cs="Arial"/>
                <w:sz w:val="20"/>
                <w:szCs w:val="20"/>
              </w:rPr>
              <w:t>Sheet</w:t>
            </w:r>
            <w:proofErr w:type="spellEnd"/>
            <w:r w:rsidRPr="00901924">
              <w:rPr>
                <w:rFonts w:ascii="Arial" w:hAnsi="Arial" w:cs="Arial"/>
                <w:sz w:val="20"/>
                <w:szCs w:val="20"/>
              </w:rPr>
              <w:t xml:space="preserve"> puede abordar tanto inversión en </w:t>
            </w:r>
            <w:proofErr w:type="spellStart"/>
            <w:r w:rsidRPr="00901924">
              <w:rPr>
                <w:rFonts w:ascii="Arial" w:hAnsi="Arial" w:cs="Arial"/>
                <w:sz w:val="20"/>
                <w:szCs w:val="20"/>
              </w:rPr>
              <w:t>equity</w:t>
            </w:r>
            <w:proofErr w:type="spellEnd"/>
            <w:r w:rsidRPr="00901924">
              <w:rPr>
                <w:rFonts w:ascii="Arial" w:hAnsi="Arial" w:cs="Arial"/>
                <w:sz w:val="20"/>
                <w:szCs w:val="20"/>
              </w:rPr>
              <w:t xml:space="preserve"> como en deuda.</w:t>
            </w:r>
          </w:p>
        </w:tc>
      </w:tr>
      <w:tr w:rsidR="00E21D9F" w:rsidRPr="00901924" w14:paraId="2CB188B6" w14:textId="77777777" w:rsidTr="000A66D2">
        <w:tc>
          <w:tcPr>
            <w:tcW w:w="3652" w:type="dxa"/>
          </w:tcPr>
          <w:p w14:paraId="2DF4DE0F" w14:textId="0BF1D780" w:rsidR="00E21D9F" w:rsidRPr="00901924" w:rsidRDefault="007210F4" w:rsidP="00E9009E">
            <w:pPr>
              <w:jc w:val="both"/>
              <w:rPr>
                <w:rFonts w:ascii="Arial" w:hAnsi="Arial" w:cs="Arial"/>
                <w:sz w:val="20"/>
                <w:szCs w:val="20"/>
              </w:rPr>
            </w:pPr>
            <w:r w:rsidRPr="00901924">
              <w:rPr>
                <w:rFonts w:ascii="Arial" w:hAnsi="Arial" w:cs="Arial"/>
                <w:sz w:val="20"/>
                <w:szCs w:val="20"/>
              </w:rPr>
              <w:t>Pacto de Accionistas</w:t>
            </w:r>
          </w:p>
        </w:tc>
        <w:tc>
          <w:tcPr>
            <w:tcW w:w="5326" w:type="dxa"/>
          </w:tcPr>
          <w:p w14:paraId="78C02F9C" w14:textId="77777777" w:rsidR="00E21D9F" w:rsidRPr="00901924" w:rsidRDefault="007210F4" w:rsidP="00E9009E">
            <w:pPr>
              <w:jc w:val="both"/>
              <w:rPr>
                <w:rFonts w:ascii="Arial" w:hAnsi="Arial" w:cs="Arial"/>
                <w:sz w:val="20"/>
                <w:szCs w:val="20"/>
              </w:rPr>
            </w:pPr>
            <w:r w:rsidRPr="00901924">
              <w:rPr>
                <w:rFonts w:ascii="Arial" w:hAnsi="Arial" w:cs="Arial"/>
                <w:sz w:val="20"/>
                <w:szCs w:val="20"/>
              </w:rPr>
              <w:t xml:space="preserve">El Pacto de Accionistas recoge en un solo documentos los derechos y obligaciones de las partes en la medida en que el inversionista invierta en </w:t>
            </w:r>
            <w:proofErr w:type="spellStart"/>
            <w:r w:rsidRPr="00901924">
              <w:rPr>
                <w:rFonts w:ascii="Arial" w:hAnsi="Arial" w:cs="Arial"/>
                <w:sz w:val="20"/>
                <w:szCs w:val="20"/>
              </w:rPr>
              <w:t>equity</w:t>
            </w:r>
            <w:proofErr w:type="spellEnd"/>
            <w:r w:rsidRPr="00901924">
              <w:rPr>
                <w:rFonts w:ascii="Arial" w:hAnsi="Arial" w:cs="Arial"/>
                <w:sz w:val="20"/>
                <w:szCs w:val="20"/>
              </w:rPr>
              <w:t>.</w:t>
            </w:r>
          </w:p>
          <w:p w14:paraId="20348A70" w14:textId="77777777" w:rsidR="007210F4" w:rsidRPr="00901924" w:rsidRDefault="007210F4" w:rsidP="00E9009E">
            <w:pPr>
              <w:jc w:val="both"/>
              <w:rPr>
                <w:rFonts w:ascii="Arial" w:hAnsi="Arial" w:cs="Arial"/>
                <w:sz w:val="20"/>
                <w:szCs w:val="20"/>
              </w:rPr>
            </w:pPr>
            <w:r w:rsidRPr="00901924">
              <w:rPr>
                <w:rFonts w:ascii="Arial" w:hAnsi="Arial" w:cs="Arial"/>
                <w:sz w:val="20"/>
                <w:szCs w:val="20"/>
              </w:rPr>
              <w:t xml:space="preserve">En un pacto se desarrollan los elementos acordados en el </w:t>
            </w:r>
            <w:proofErr w:type="spellStart"/>
            <w:r w:rsidRPr="00901924">
              <w:rPr>
                <w:rFonts w:ascii="Arial" w:hAnsi="Arial" w:cs="Arial"/>
                <w:sz w:val="20"/>
                <w:szCs w:val="20"/>
              </w:rPr>
              <w:t>Term</w:t>
            </w:r>
            <w:proofErr w:type="spellEnd"/>
            <w:r w:rsidRPr="00901924">
              <w:rPr>
                <w:rFonts w:ascii="Arial" w:hAnsi="Arial" w:cs="Arial"/>
                <w:sz w:val="20"/>
                <w:szCs w:val="20"/>
              </w:rPr>
              <w:t xml:space="preserve"> </w:t>
            </w:r>
            <w:proofErr w:type="spellStart"/>
            <w:r w:rsidRPr="00901924">
              <w:rPr>
                <w:rFonts w:ascii="Arial" w:hAnsi="Arial" w:cs="Arial"/>
                <w:sz w:val="20"/>
                <w:szCs w:val="20"/>
              </w:rPr>
              <w:t>Sheet</w:t>
            </w:r>
            <w:proofErr w:type="spellEnd"/>
            <w:r w:rsidRPr="00901924">
              <w:rPr>
                <w:rFonts w:ascii="Arial" w:hAnsi="Arial" w:cs="Arial"/>
                <w:sz w:val="20"/>
                <w:szCs w:val="20"/>
              </w:rPr>
              <w:t>.</w:t>
            </w:r>
          </w:p>
          <w:p w14:paraId="25F7C0F0" w14:textId="011DF008" w:rsidR="007210F4" w:rsidRPr="00901924" w:rsidRDefault="007210F4" w:rsidP="00E9009E">
            <w:pPr>
              <w:jc w:val="both"/>
              <w:rPr>
                <w:rFonts w:ascii="Arial" w:hAnsi="Arial" w:cs="Arial"/>
                <w:sz w:val="20"/>
                <w:szCs w:val="20"/>
              </w:rPr>
            </w:pPr>
            <w:r w:rsidRPr="00901924">
              <w:rPr>
                <w:rFonts w:ascii="Arial" w:hAnsi="Arial" w:cs="Arial"/>
                <w:sz w:val="20"/>
                <w:szCs w:val="20"/>
              </w:rPr>
              <w:t>Debe tenerse presente que el pacto supone el otorgamiento (al menos habitualmente) de un contrato de suscripción y pago de acciones y de una modificación de los estatutos sociales, en este último caso si es que se aumenta el capital o se generan preferencias para el inversionista.</w:t>
            </w:r>
          </w:p>
        </w:tc>
      </w:tr>
      <w:tr w:rsidR="00E21D9F" w:rsidRPr="00901924" w14:paraId="5DA0C23A" w14:textId="77777777" w:rsidTr="000A66D2">
        <w:tc>
          <w:tcPr>
            <w:tcW w:w="3652" w:type="dxa"/>
          </w:tcPr>
          <w:p w14:paraId="31D67992" w14:textId="748E0AFD" w:rsidR="00E21D9F" w:rsidRPr="00901924" w:rsidRDefault="007210F4" w:rsidP="00E9009E">
            <w:pPr>
              <w:jc w:val="both"/>
              <w:rPr>
                <w:rFonts w:ascii="Arial" w:hAnsi="Arial" w:cs="Arial"/>
                <w:sz w:val="20"/>
                <w:szCs w:val="20"/>
              </w:rPr>
            </w:pPr>
            <w:r w:rsidRPr="00901924">
              <w:rPr>
                <w:rFonts w:ascii="Arial" w:hAnsi="Arial" w:cs="Arial"/>
                <w:sz w:val="20"/>
                <w:szCs w:val="20"/>
              </w:rPr>
              <w:t>Mutuo o Nota Convertible</w:t>
            </w:r>
          </w:p>
        </w:tc>
        <w:tc>
          <w:tcPr>
            <w:tcW w:w="5326" w:type="dxa"/>
          </w:tcPr>
          <w:p w14:paraId="520D7EB7" w14:textId="77777777" w:rsidR="00E21D9F" w:rsidRPr="00901924" w:rsidRDefault="000C06DE" w:rsidP="00E9009E">
            <w:pPr>
              <w:jc w:val="both"/>
              <w:rPr>
                <w:rFonts w:ascii="Arial" w:hAnsi="Arial" w:cs="Arial"/>
                <w:sz w:val="20"/>
                <w:szCs w:val="20"/>
              </w:rPr>
            </w:pPr>
            <w:r w:rsidRPr="00901924">
              <w:rPr>
                <w:rFonts w:ascii="Arial" w:hAnsi="Arial" w:cs="Arial"/>
                <w:sz w:val="20"/>
                <w:szCs w:val="20"/>
              </w:rPr>
              <w:t>El mutuo o nota convertible es un instrumento de deuda convertible en acciones.</w:t>
            </w:r>
          </w:p>
          <w:p w14:paraId="45562553" w14:textId="77777777" w:rsidR="000C06DE" w:rsidRPr="00901924" w:rsidRDefault="000C06DE" w:rsidP="00E9009E">
            <w:pPr>
              <w:jc w:val="both"/>
              <w:rPr>
                <w:rFonts w:ascii="Arial" w:hAnsi="Arial" w:cs="Arial"/>
                <w:sz w:val="20"/>
                <w:szCs w:val="20"/>
              </w:rPr>
            </w:pPr>
            <w:r w:rsidRPr="00901924">
              <w:rPr>
                <w:rFonts w:ascii="Arial" w:hAnsi="Arial" w:cs="Arial"/>
                <w:sz w:val="20"/>
                <w:szCs w:val="20"/>
              </w:rPr>
              <w:t xml:space="preserve">Por regla general, se utiliza en situaciones en que el emprendimiento se encuentra en etapa de crecimiento, lo que impide tener una valorización clara de la compañía, o en situaciones en que se encuentra en etapas intermedias de levantamiento de recursos vía </w:t>
            </w:r>
            <w:proofErr w:type="spellStart"/>
            <w:r w:rsidRPr="00901924">
              <w:rPr>
                <w:rFonts w:ascii="Arial" w:hAnsi="Arial" w:cs="Arial"/>
                <w:sz w:val="20"/>
                <w:szCs w:val="20"/>
              </w:rPr>
              <w:t>equity</w:t>
            </w:r>
            <w:proofErr w:type="spellEnd"/>
            <w:r w:rsidRPr="00901924">
              <w:rPr>
                <w:rFonts w:ascii="Arial" w:hAnsi="Arial" w:cs="Arial"/>
                <w:sz w:val="20"/>
                <w:szCs w:val="20"/>
              </w:rPr>
              <w:t>, en que este tipo de instrumentos sirven de financiamiento puente.</w:t>
            </w:r>
          </w:p>
          <w:p w14:paraId="09067498" w14:textId="02363A4A" w:rsidR="000C06DE" w:rsidRPr="00901924" w:rsidRDefault="000C06DE" w:rsidP="00E9009E">
            <w:pPr>
              <w:jc w:val="both"/>
              <w:rPr>
                <w:rFonts w:ascii="Arial" w:hAnsi="Arial" w:cs="Arial"/>
                <w:sz w:val="20"/>
                <w:szCs w:val="20"/>
              </w:rPr>
            </w:pPr>
            <w:r w:rsidRPr="00901924">
              <w:rPr>
                <w:rFonts w:ascii="Arial" w:hAnsi="Arial" w:cs="Arial"/>
                <w:sz w:val="20"/>
                <w:szCs w:val="20"/>
              </w:rPr>
              <w:t xml:space="preserve">Las notas o mutuos convertibles resguardan fundamentalmente los eventos y derechos de </w:t>
            </w:r>
            <w:r w:rsidR="006D2C86" w:rsidRPr="00901924">
              <w:rPr>
                <w:rFonts w:ascii="Arial" w:hAnsi="Arial" w:cs="Arial"/>
                <w:sz w:val="20"/>
                <w:szCs w:val="20"/>
              </w:rPr>
              <w:t>conversión,</w:t>
            </w:r>
            <w:r w:rsidRPr="00901924">
              <w:rPr>
                <w:rFonts w:ascii="Arial" w:hAnsi="Arial" w:cs="Arial"/>
                <w:sz w:val="20"/>
                <w:szCs w:val="20"/>
              </w:rPr>
              <w:t xml:space="preserve"> así como derechos futuros del acreedor como accionista post-conversión</w:t>
            </w:r>
            <w:r w:rsidR="000A66D2" w:rsidRPr="00901924">
              <w:rPr>
                <w:rFonts w:ascii="Arial" w:hAnsi="Arial" w:cs="Arial"/>
                <w:sz w:val="20"/>
                <w:szCs w:val="20"/>
              </w:rPr>
              <w:t xml:space="preserve"> una vez se materialice </w:t>
            </w:r>
            <w:r w:rsidR="000A66D2" w:rsidRPr="00901924">
              <w:rPr>
                <w:rFonts w:ascii="Arial" w:hAnsi="Arial" w:cs="Arial"/>
                <w:sz w:val="20"/>
                <w:szCs w:val="20"/>
              </w:rPr>
              <w:lastRenderedPageBreak/>
              <w:t>una ronda de financiamiento</w:t>
            </w:r>
            <w:r w:rsidRPr="00901924">
              <w:rPr>
                <w:rFonts w:ascii="Arial" w:hAnsi="Arial" w:cs="Arial"/>
                <w:sz w:val="20"/>
                <w:szCs w:val="20"/>
              </w:rPr>
              <w:t>.</w:t>
            </w:r>
          </w:p>
          <w:p w14:paraId="0C02AC83" w14:textId="23DAA77A" w:rsidR="000C06DE" w:rsidRPr="00901924" w:rsidRDefault="000C06DE" w:rsidP="00E9009E">
            <w:pPr>
              <w:jc w:val="both"/>
              <w:rPr>
                <w:rFonts w:ascii="Arial" w:hAnsi="Arial" w:cs="Arial"/>
                <w:sz w:val="20"/>
                <w:szCs w:val="20"/>
              </w:rPr>
            </w:pPr>
            <w:r w:rsidRPr="00901924">
              <w:rPr>
                <w:rFonts w:ascii="Arial" w:hAnsi="Arial" w:cs="Arial"/>
                <w:sz w:val="20"/>
                <w:szCs w:val="20"/>
              </w:rPr>
              <w:t xml:space="preserve">Los beneficios del inversionista al invertir en estos instrumentos de deuda son el recibir una tasa de interés y poder convertir con una tasa de descuento al realizar la conversión a </w:t>
            </w:r>
            <w:proofErr w:type="spellStart"/>
            <w:r w:rsidRPr="00901924">
              <w:rPr>
                <w:rFonts w:ascii="Arial" w:hAnsi="Arial" w:cs="Arial"/>
                <w:sz w:val="20"/>
                <w:szCs w:val="20"/>
              </w:rPr>
              <w:t>equity</w:t>
            </w:r>
            <w:proofErr w:type="spellEnd"/>
            <w:r w:rsidRPr="00901924">
              <w:rPr>
                <w:rFonts w:ascii="Arial" w:hAnsi="Arial" w:cs="Arial"/>
                <w:sz w:val="20"/>
                <w:szCs w:val="20"/>
              </w:rPr>
              <w:t>.</w:t>
            </w:r>
          </w:p>
        </w:tc>
      </w:tr>
      <w:tr w:rsidR="00E21D9F" w:rsidRPr="00901924" w14:paraId="7579F486" w14:textId="77777777" w:rsidTr="000A66D2">
        <w:tc>
          <w:tcPr>
            <w:tcW w:w="3652" w:type="dxa"/>
          </w:tcPr>
          <w:p w14:paraId="66F92162" w14:textId="45F29114" w:rsidR="00E21D9F" w:rsidRPr="00901924" w:rsidRDefault="007210F4" w:rsidP="00E9009E">
            <w:pPr>
              <w:jc w:val="both"/>
              <w:rPr>
                <w:rFonts w:ascii="Arial" w:hAnsi="Arial" w:cs="Arial"/>
                <w:sz w:val="20"/>
                <w:szCs w:val="20"/>
              </w:rPr>
            </w:pPr>
            <w:r w:rsidRPr="00901924">
              <w:rPr>
                <w:rFonts w:ascii="Arial" w:hAnsi="Arial" w:cs="Arial"/>
                <w:sz w:val="20"/>
                <w:szCs w:val="20"/>
              </w:rPr>
              <w:lastRenderedPageBreak/>
              <w:t>SAFE</w:t>
            </w:r>
            <w:r w:rsidR="000C06DE" w:rsidRPr="00901924">
              <w:rPr>
                <w:rFonts w:ascii="Arial" w:hAnsi="Arial" w:cs="Arial"/>
                <w:sz w:val="20"/>
                <w:szCs w:val="20"/>
              </w:rPr>
              <w:t xml:space="preserve"> Acciones Ordinarias</w:t>
            </w:r>
          </w:p>
        </w:tc>
        <w:tc>
          <w:tcPr>
            <w:tcW w:w="5326" w:type="dxa"/>
          </w:tcPr>
          <w:p w14:paraId="5706ED28" w14:textId="6B6B91D3" w:rsidR="00E21D9F" w:rsidRPr="00901924" w:rsidRDefault="009F1DE0" w:rsidP="00E9009E">
            <w:pPr>
              <w:jc w:val="both"/>
              <w:rPr>
                <w:rFonts w:ascii="Arial" w:hAnsi="Arial" w:cs="Arial"/>
                <w:sz w:val="20"/>
                <w:szCs w:val="20"/>
              </w:rPr>
            </w:pPr>
            <w:r w:rsidRPr="00901924">
              <w:rPr>
                <w:rFonts w:ascii="Arial" w:hAnsi="Arial" w:cs="Arial"/>
                <w:sz w:val="20"/>
                <w:szCs w:val="20"/>
              </w:rPr>
              <w:t>SAFE (</w:t>
            </w:r>
            <w:r w:rsidRPr="00901924">
              <w:rPr>
                <w:rFonts w:ascii="Arial" w:hAnsi="Arial" w:cs="Arial"/>
                <w:i/>
                <w:sz w:val="20"/>
                <w:szCs w:val="20"/>
              </w:rPr>
              <w:t xml:space="preserve">Simple </w:t>
            </w:r>
            <w:proofErr w:type="spellStart"/>
            <w:r w:rsidRPr="00901924">
              <w:rPr>
                <w:rFonts w:ascii="Arial" w:hAnsi="Arial" w:cs="Arial"/>
                <w:i/>
                <w:sz w:val="20"/>
                <w:szCs w:val="20"/>
              </w:rPr>
              <w:t>agreement</w:t>
            </w:r>
            <w:proofErr w:type="spellEnd"/>
            <w:r w:rsidRPr="00901924">
              <w:rPr>
                <w:rFonts w:ascii="Arial" w:hAnsi="Arial" w:cs="Arial"/>
                <w:i/>
                <w:sz w:val="20"/>
                <w:szCs w:val="20"/>
              </w:rPr>
              <w:t xml:space="preserve"> </w:t>
            </w:r>
            <w:proofErr w:type="spellStart"/>
            <w:r w:rsidRPr="00901924">
              <w:rPr>
                <w:rFonts w:ascii="Arial" w:hAnsi="Arial" w:cs="Arial"/>
                <w:i/>
                <w:sz w:val="20"/>
                <w:szCs w:val="20"/>
              </w:rPr>
              <w:t>for</w:t>
            </w:r>
            <w:proofErr w:type="spellEnd"/>
            <w:r w:rsidRPr="00901924">
              <w:rPr>
                <w:rFonts w:ascii="Arial" w:hAnsi="Arial" w:cs="Arial"/>
                <w:i/>
                <w:sz w:val="20"/>
                <w:szCs w:val="20"/>
              </w:rPr>
              <w:t xml:space="preserve"> </w:t>
            </w:r>
            <w:proofErr w:type="spellStart"/>
            <w:r w:rsidRPr="00901924">
              <w:rPr>
                <w:rFonts w:ascii="Arial" w:hAnsi="Arial" w:cs="Arial"/>
                <w:i/>
                <w:sz w:val="20"/>
                <w:szCs w:val="20"/>
              </w:rPr>
              <w:t>future</w:t>
            </w:r>
            <w:proofErr w:type="spellEnd"/>
            <w:r w:rsidRPr="00901924">
              <w:rPr>
                <w:rFonts w:ascii="Arial" w:hAnsi="Arial" w:cs="Arial"/>
                <w:i/>
                <w:sz w:val="20"/>
                <w:szCs w:val="20"/>
              </w:rPr>
              <w:t xml:space="preserve"> </w:t>
            </w:r>
            <w:proofErr w:type="spellStart"/>
            <w:r w:rsidRPr="00901924">
              <w:rPr>
                <w:rFonts w:ascii="Arial" w:hAnsi="Arial" w:cs="Arial"/>
                <w:i/>
                <w:sz w:val="20"/>
                <w:szCs w:val="20"/>
              </w:rPr>
              <w:t>equity</w:t>
            </w:r>
            <w:proofErr w:type="spellEnd"/>
            <w:r w:rsidRPr="00901924">
              <w:rPr>
                <w:rFonts w:ascii="Arial" w:hAnsi="Arial" w:cs="Arial"/>
                <w:sz w:val="20"/>
                <w:szCs w:val="20"/>
              </w:rPr>
              <w:t xml:space="preserve">) es un instrumento de </w:t>
            </w:r>
            <w:r w:rsidR="000A66D2" w:rsidRPr="00901924">
              <w:rPr>
                <w:rFonts w:ascii="Arial" w:hAnsi="Arial" w:cs="Arial"/>
                <w:sz w:val="20"/>
                <w:szCs w:val="20"/>
              </w:rPr>
              <w:t>inversión</w:t>
            </w:r>
            <w:r w:rsidRPr="00901924">
              <w:rPr>
                <w:rFonts w:ascii="Arial" w:hAnsi="Arial" w:cs="Arial"/>
                <w:sz w:val="20"/>
                <w:szCs w:val="20"/>
              </w:rPr>
              <w:t xml:space="preserve"> creado el año por Y </w:t>
            </w:r>
            <w:proofErr w:type="spellStart"/>
            <w:r w:rsidRPr="00901924">
              <w:rPr>
                <w:rFonts w:ascii="Arial" w:hAnsi="Arial" w:cs="Arial"/>
                <w:sz w:val="20"/>
                <w:szCs w:val="20"/>
              </w:rPr>
              <w:t>Combinator</w:t>
            </w:r>
            <w:proofErr w:type="spellEnd"/>
            <w:r w:rsidRPr="00901924">
              <w:rPr>
                <w:rFonts w:ascii="Arial" w:hAnsi="Arial" w:cs="Arial"/>
                <w:sz w:val="20"/>
                <w:szCs w:val="20"/>
              </w:rPr>
              <w:t>.</w:t>
            </w:r>
          </w:p>
          <w:p w14:paraId="7E82A828" w14:textId="696DBEE6" w:rsidR="000A66D2" w:rsidRPr="00901924" w:rsidRDefault="000A66D2" w:rsidP="00E9009E">
            <w:pPr>
              <w:jc w:val="both"/>
              <w:rPr>
                <w:rFonts w:ascii="Arial" w:hAnsi="Arial" w:cs="Arial"/>
                <w:sz w:val="20"/>
                <w:szCs w:val="20"/>
              </w:rPr>
            </w:pPr>
            <w:r w:rsidRPr="00901924">
              <w:rPr>
                <w:rFonts w:ascii="Arial" w:hAnsi="Arial" w:cs="Arial"/>
                <w:sz w:val="20"/>
                <w:szCs w:val="20"/>
              </w:rPr>
              <w:t xml:space="preserve">Su función es ser un sustituto a los mutuos o notas convertibles, pero en vez de tratarse de inversión en deuda es una inversión sobre opciones de </w:t>
            </w:r>
            <w:proofErr w:type="spellStart"/>
            <w:r w:rsidRPr="00901924">
              <w:rPr>
                <w:rFonts w:ascii="Arial" w:hAnsi="Arial" w:cs="Arial"/>
                <w:sz w:val="20"/>
                <w:szCs w:val="20"/>
              </w:rPr>
              <w:t>equity</w:t>
            </w:r>
            <w:proofErr w:type="spellEnd"/>
            <w:r w:rsidRPr="00901924">
              <w:rPr>
                <w:rFonts w:ascii="Arial" w:hAnsi="Arial" w:cs="Arial"/>
                <w:sz w:val="20"/>
                <w:szCs w:val="20"/>
              </w:rPr>
              <w:t xml:space="preserve"> para adquirir dichas acciones en una futura ronda de financiamiento.</w:t>
            </w:r>
          </w:p>
        </w:tc>
      </w:tr>
      <w:tr w:rsidR="00E21D9F" w:rsidRPr="00901924" w14:paraId="3258FBDF" w14:textId="77777777" w:rsidTr="000A66D2">
        <w:tc>
          <w:tcPr>
            <w:tcW w:w="3652" w:type="dxa"/>
          </w:tcPr>
          <w:p w14:paraId="62A6AB65" w14:textId="39E9E87A" w:rsidR="00E21D9F" w:rsidRPr="00901924" w:rsidRDefault="000C06DE" w:rsidP="00E9009E">
            <w:pPr>
              <w:jc w:val="both"/>
              <w:rPr>
                <w:rFonts w:ascii="Arial" w:hAnsi="Arial" w:cs="Arial"/>
                <w:sz w:val="20"/>
                <w:szCs w:val="20"/>
              </w:rPr>
            </w:pPr>
            <w:r w:rsidRPr="00901924">
              <w:rPr>
                <w:rFonts w:ascii="Arial" w:hAnsi="Arial" w:cs="Arial"/>
                <w:sz w:val="20"/>
                <w:szCs w:val="20"/>
              </w:rPr>
              <w:t>SAFE Acciones Preferentes</w:t>
            </w:r>
          </w:p>
        </w:tc>
        <w:tc>
          <w:tcPr>
            <w:tcW w:w="5326" w:type="dxa"/>
          </w:tcPr>
          <w:p w14:paraId="2F0A1F21" w14:textId="113DFE4C" w:rsidR="00E21D9F" w:rsidRPr="00901924" w:rsidRDefault="000A66D2" w:rsidP="00E9009E">
            <w:pPr>
              <w:jc w:val="both"/>
              <w:rPr>
                <w:rFonts w:ascii="Arial" w:hAnsi="Arial" w:cs="Arial"/>
                <w:sz w:val="20"/>
                <w:szCs w:val="20"/>
              </w:rPr>
            </w:pPr>
            <w:r w:rsidRPr="00901924">
              <w:rPr>
                <w:rFonts w:ascii="Arial" w:hAnsi="Arial" w:cs="Arial"/>
                <w:sz w:val="20"/>
                <w:szCs w:val="20"/>
              </w:rPr>
              <w:t>Mismo que el anterior, salvo por el hecho que se convierten en acciones preferentes y no ordinarias.</w:t>
            </w:r>
          </w:p>
        </w:tc>
      </w:tr>
      <w:tr w:rsidR="00E21D9F" w:rsidRPr="00901924" w14:paraId="4BD0E271" w14:textId="77777777" w:rsidTr="000A66D2">
        <w:tc>
          <w:tcPr>
            <w:tcW w:w="3652" w:type="dxa"/>
          </w:tcPr>
          <w:p w14:paraId="1AC36D69" w14:textId="4C0316E7" w:rsidR="00E21D9F" w:rsidRPr="00901924" w:rsidRDefault="009F1DE0" w:rsidP="00E9009E">
            <w:pPr>
              <w:jc w:val="both"/>
              <w:rPr>
                <w:rFonts w:ascii="Arial" w:hAnsi="Arial" w:cs="Arial"/>
                <w:sz w:val="20"/>
                <w:szCs w:val="20"/>
              </w:rPr>
            </w:pPr>
            <w:r w:rsidRPr="00901924">
              <w:rPr>
                <w:rFonts w:ascii="Arial" w:hAnsi="Arial" w:cs="Arial"/>
                <w:sz w:val="20"/>
                <w:szCs w:val="20"/>
              </w:rPr>
              <w:t>Kiss</w:t>
            </w:r>
          </w:p>
        </w:tc>
        <w:tc>
          <w:tcPr>
            <w:tcW w:w="5326" w:type="dxa"/>
          </w:tcPr>
          <w:p w14:paraId="17C93277" w14:textId="77777777" w:rsidR="009F1DE0" w:rsidRPr="00901924" w:rsidRDefault="009F1DE0" w:rsidP="009F1DE0">
            <w:pPr>
              <w:jc w:val="both"/>
              <w:rPr>
                <w:rFonts w:ascii="Arial" w:hAnsi="Arial" w:cs="Arial"/>
                <w:sz w:val="20"/>
                <w:szCs w:val="20"/>
              </w:rPr>
            </w:pPr>
            <w:r w:rsidRPr="00901924">
              <w:rPr>
                <w:rFonts w:ascii="Arial" w:hAnsi="Arial" w:cs="Arial"/>
                <w:sz w:val="20"/>
                <w:szCs w:val="20"/>
              </w:rPr>
              <w:t>KISS (</w:t>
            </w:r>
            <w:proofErr w:type="spellStart"/>
            <w:r w:rsidRPr="00901924">
              <w:rPr>
                <w:rFonts w:ascii="Arial" w:hAnsi="Arial" w:cs="Arial"/>
                <w:i/>
                <w:sz w:val="20"/>
                <w:szCs w:val="20"/>
              </w:rPr>
              <w:t>Keep</w:t>
            </w:r>
            <w:proofErr w:type="spellEnd"/>
            <w:r w:rsidRPr="00901924">
              <w:rPr>
                <w:rFonts w:ascii="Arial" w:hAnsi="Arial" w:cs="Arial"/>
                <w:i/>
                <w:sz w:val="20"/>
                <w:szCs w:val="20"/>
              </w:rPr>
              <w:t xml:space="preserve"> </w:t>
            </w:r>
            <w:proofErr w:type="spellStart"/>
            <w:r w:rsidRPr="00901924">
              <w:rPr>
                <w:rFonts w:ascii="Arial" w:hAnsi="Arial" w:cs="Arial"/>
                <w:i/>
                <w:sz w:val="20"/>
                <w:szCs w:val="20"/>
              </w:rPr>
              <w:t>it</w:t>
            </w:r>
            <w:proofErr w:type="spellEnd"/>
            <w:r w:rsidRPr="00901924">
              <w:rPr>
                <w:rFonts w:ascii="Arial" w:hAnsi="Arial" w:cs="Arial"/>
                <w:i/>
                <w:sz w:val="20"/>
                <w:szCs w:val="20"/>
              </w:rPr>
              <w:t xml:space="preserve"> simple </w:t>
            </w:r>
            <w:proofErr w:type="spellStart"/>
            <w:r w:rsidRPr="00901924">
              <w:rPr>
                <w:rFonts w:ascii="Arial" w:hAnsi="Arial" w:cs="Arial"/>
                <w:i/>
                <w:sz w:val="20"/>
                <w:szCs w:val="20"/>
              </w:rPr>
              <w:t>security</w:t>
            </w:r>
            <w:proofErr w:type="spellEnd"/>
            <w:r w:rsidRPr="00901924">
              <w:rPr>
                <w:rFonts w:ascii="Arial" w:hAnsi="Arial" w:cs="Arial"/>
                <w:sz w:val="20"/>
                <w:szCs w:val="20"/>
              </w:rPr>
              <w:t>) es un instrumento de inversión creado el año 2014 por 500 Startups.</w:t>
            </w:r>
          </w:p>
          <w:p w14:paraId="02713A02" w14:textId="02B44A55" w:rsidR="00E21D9F" w:rsidRPr="00901924" w:rsidRDefault="009F1DE0" w:rsidP="00E9009E">
            <w:pPr>
              <w:jc w:val="both"/>
              <w:rPr>
                <w:rFonts w:ascii="Arial" w:hAnsi="Arial" w:cs="Arial"/>
                <w:sz w:val="20"/>
                <w:szCs w:val="20"/>
              </w:rPr>
            </w:pPr>
            <w:r w:rsidRPr="00901924">
              <w:rPr>
                <w:rFonts w:ascii="Arial" w:hAnsi="Arial" w:cs="Arial"/>
                <w:sz w:val="20"/>
                <w:szCs w:val="20"/>
              </w:rPr>
              <w:t xml:space="preserve">Es un instrumento que permite inversión en valores ya sea de </w:t>
            </w:r>
            <w:proofErr w:type="spellStart"/>
            <w:r w:rsidRPr="00901924">
              <w:rPr>
                <w:rFonts w:ascii="Arial" w:hAnsi="Arial" w:cs="Arial"/>
                <w:sz w:val="20"/>
                <w:szCs w:val="20"/>
              </w:rPr>
              <w:t>equity</w:t>
            </w:r>
            <w:proofErr w:type="spellEnd"/>
            <w:r w:rsidRPr="00901924">
              <w:rPr>
                <w:rFonts w:ascii="Arial" w:hAnsi="Arial" w:cs="Arial"/>
                <w:sz w:val="20"/>
                <w:szCs w:val="20"/>
              </w:rPr>
              <w:t xml:space="preserve"> o de deuda, sin que sean </w:t>
            </w:r>
            <w:r w:rsidR="00B77B60" w:rsidRPr="00901924">
              <w:rPr>
                <w:rFonts w:ascii="Arial" w:hAnsi="Arial" w:cs="Arial"/>
                <w:sz w:val="20"/>
                <w:szCs w:val="20"/>
              </w:rPr>
              <w:t>acciones,</w:t>
            </w:r>
            <w:r w:rsidRPr="00901924">
              <w:rPr>
                <w:rFonts w:ascii="Arial" w:hAnsi="Arial" w:cs="Arial"/>
                <w:sz w:val="20"/>
                <w:szCs w:val="20"/>
              </w:rPr>
              <w:t xml:space="preserve"> sino que opciones.</w:t>
            </w:r>
          </w:p>
          <w:p w14:paraId="56490EFD" w14:textId="752ECA0D" w:rsidR="009F1DE0" w:rsidRPr="00901924" w:rsidRDefault="009F1DE0" w:rsidP="00E9009E">
            <w:pPr>
              <w:jc w:val="both"/>
              <w:rPr>
                <w:rFonts w:ascii="Arial" w:hAnsi="Arial" w:cs="Arial"/>
                <w:sz w:val="20"/>
                <w:szCs w:val="20"/>
              </w:rPr>
            </w:pPr>
            <w:r w:rsidRPr="00901924">
              <w:rPr>
                <w:rFonts w:ascii="Arial" w:hAnsi="Arial" w:cs="Arial"/>
                <w:sz w:val="20"/>
                <w:szCs w:val="20"/>
              </w:rPr>
              <w:t xml:space="preserve">El KISS es un desarrollo posterior en el tiempo a </w:t>
            </w:r>
            <w:proofErr w:type="spellStart"/>
            <w:r w:rsidRPr="00901924">
              <w:rPr>
                <w:rFonts w:ascii="Arial" w:hAnsi="Arial" w:cs="Arial"/>
                <w:sz w:val="20"/>
                <w:szCs w:val="20"/>
              </w:rPr>
              <w:t>SAFEs</w:t>
            </w:r>
            <w:proofErr w:type="spellEnd"/>
            <w:r w:rsidRPr="00901924">
              <w:rPr>
                <w:rFonts w:ascii="Arial" w:hAnsi="Arial" w:cs="Arial"/>
                <w:sz w:val="20"/>
                <w:szCs w:val="20"/>
              </w:rPr>
              <w:t>, buscando equilibrar la relación inversionista-emprendedor de manera de reducir al máximo los costos de transacción al invertir.</w:t>
            </w:r>
          </w:p>
        </w:tc>
      </w:tr>
    </w:tbl>
    <w:p w14:paraId="5A133B08" w14:textId="6ADCE71C" w:rsidR="00E21D9F" w:rsidRDefault="00E21D9F" w:rsidP="00E9009E">
      <w:pPr>
        <w:spacing w:after="0" w:line="240" w:lineRule="auto"/>
        <w:jc w:val="both"/>
        <w:rPr>
          <w:rFonts w:ascii="Arial" w:hAnsi="Arial" w:cs="Arial"/>
          <w:sz w:val="20"/>
          <w:szCs w:val="20"/>
        </w:rPr>
      </w:pPr>
    </w:p>
    <w:p w14:paraId="379B192E" w14:textId="5421C4DD" w:rsidR="007909A7" w:rsidRDefault="007909A7" w:rsidP="00E9009E">
      <w:pPr>
        <w:spacing w:after="0" w:line="240" w:lineRule="auto"/>
        <w:jc w:val="both"/>
        <w:rPr>
          <w:rFonts w:ascii="Arial" w:hAnsi="Arial" w:cs="Arial"/>
          <w:sz w:val="20"/>
          <w:szCs w:val="20"/>
        </w:rPr>
      </w:pPr>
    </w:p>
    <w:p w14:paraId="2E8A333E" w14:textId="77777777" w:rsidR="007909A7" w:rsidRPr="00901924" w:rsidRDefault="007909A7" w:rsidP="00E9009E">
      <w:pPr>
        <w:spacing w:after="0" w:line="240" w:lineRule="auto"/>
        <w:jc w:val="both"/>
        <w:rPr>
          <w:rFonts w:ascii="Arial" w:hAnsi="Arial" w:cs="Arial"/>
          <w:sz w:val="20"/>
          <w:szCs w:val="20"/>
        </w:rPr>
      </w:pPr>
    </w:p>
    <w:p w14:paraId="57E6A325" w14:textId="7F142F5C" w:rsidR="006D2C86" w:rsidRDefault="006D2C86" w:rsidP="006D2C86">
      <w:pPr>
        <w:spacing w:after="0" w:line="240" w:lineRule="auto"/>
        <w:ind w:right="-376"/>
        <w:rPr>
          <w:rFonts w:ascii="Arial" w:hAnsi="Arial" w:cs="Arial"/>
          <w:sz w:val="20"/>
          <w:szCs w:val="20"/>
        </w:rPr>
      </w:pPr>
      <w:r>
        <w:rPr>
          <w:rFonts w:ascii="Arial" w:hAnsi="Arial" w:cs="Arial"/>
          <w:noProof/>
          <w:sz w:val="20"/>
          <w:szCs w:val="20"/>
        </w:rPr>
        <w:drawing>
          <wp:inline distT="0" distB="0" distL="0" distR="0" wp14:anchorId="79B1B82F" wp14:editId="2B803413">
            <wp:extent cx="575310" cy="5745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 Legal.jpg"/>
                    <pic:cNvPicPr/>
                  </pic:nvPicPr>
                  <pic:blipFill>
                    <a:blip r:embed="rId7"/>
                    <a:stretch>
                      <a:fillRect/>
                    </a:stretch>
                  </pic:blipFill>
                  <pic:spPr>
                    <a:xfrm>
                      <a:off x="0" y="0"/>
                      <a:ext cx="581922" cy="58119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1618FE6B" wp14:editId="2A2C6EAD">
            <wp:extent cx="1744144" cy="5760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SYC.jpg"/>
                    <pic:cNvPicPr/>
                  </pic:nvPicPr>
                  <pic:blipFill>
                    <a:blip r:embed="rId8"/>
                    <a:stretch>
                      <a:fillRect/>
                    </a:stretch>
                  </pic:blipFill>
                  <pic:spPr>
                    <a:xfrm>
                      <a:off x="0" y="0"/>
                      <a:ext cx="1744144" cy="57600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7A0BBF5C" wp14:editId="7AE0C84E">
            <wp:extent cx="1691260" cy="5760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bagli-Zaliasnik.jpg"/>
                    <pic:cNvPicPr/>
                  </pic:nvPicPr>
                  <pic:blipFill>
                    <a:blip r:embed="rId9"/>
                    <a:stretch>
                      <a:fillRect/>
                    </a:stretch>
                  </pic:blipFill>
                  <pic:spPr>
                    <a:xfrm>
                      <a:off x="0" y="0"/>
                      <a:ext cx="1691260" cy="576000"/>
                    </a:xfrm>
                    <a:prstGeom prst="rect">
                      <a:avLst/>
                    </a:prstGeom>
                  </pic:spPr>
                </pic:pic>
              </a:graphicData>
            </a:graphic>
          </wp:inline>
        </w:drawing>
      </w:r>
      <w:r w:rsidR="00B77B60">
        <w:rPr>
          <w:rFonts w:ascii="Arial" w:hAnsi="Arial" w:cs="Arial"/>
          <w:noProof/>
          <w:sz w:val="20"/>
          <w:szCs w:val="20"/>
        </w:rPr>
        <w:t xml:space="preserve">    </w:t>
      </w:r>
      <w:r w:rsidR="00B77B60">
        <w:rPr>
          <w:rFonts w:ascii="Arial" w:hAnsi="Arial" w:cs="Arial"/>
          <w:noProof/>
          <w:sz w:val="20"/>
          <w:szCs w:val="20"/>
        </w:rPr>
        <w:drawing>
          <wp:inline distT="0" distB="0" distL="0" distR="0" wp14:anchorId="01188C93" wp14:editId="25D58D24">
            <wp:extent cx="1726316" cy="5760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ster color fondo blanco.jpg"/>
                    <pic:cNvPicPr/>
                  </pic:nvPicPr>
                  <pic:blipFill>
                    <a:blip r:embed="rId10"/>
                    <a:stretch>
                      <a:fillRect/>
                    </a:stretch>
                  </pic:blipFill>
                  <pic:spPr>
                    <a:xfrm>
                      <a:off x="0" y="0"/>
                      <a:ext cx="1726316" cy="576000"/>
                    </a:xfrm>
                    <a:prstGeom prst="rect">
                      <a:avLst/>
                    </a:prstGeom>
                  </pic:spPr>
                </pic:pic>
              </a:graphicData>
            </a:graphic>
          </wp:inline>
        </w:drawing>
      </w:r>
    </w:p>
    <w:p w14:paraId="0541511A" w14:textId="77777777" w:rsidR="006D2C86" w:rsidRDefault="006D2C86" w:rsidP="006D2C86">
      <w:pPr>
        <w:spacing w:after="0" w:line="240" w:lineRule="auto"/>
        <w:ind w:right="-376"/>
        <w:rPr>
          <w:rFonts w:ascii="Arial" w:hAnsi="Arial" w:cs="Arial"/>
          <w:sz w:val="20"/>
          <w:szCs w:val="20"/>
        </w:rPr>
      </w:pPr>
    </w:p>
    <w:p w14:paraId="125155BF" w14:textId="67684D73" w:rsidR="000A66D2" w:rsidRDefault="006D2C86" w:rsidP="006D2C86">
      <w:pPr>
        <w:spacing w:after="0" w:line="240" w:lineRule="auto"/>
        <w:ind w:right="-376"/>
        <w:rPr>
          <w:rFonts w:ascii="Arial" w:hAnsi="Arial" w:cs="Arial"/>
          <w:noProof/>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0BB59F5C" wp14:editId="06C81316">
            <wp:extent cx="2353310" cy="2129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agycia_Alta.jpg"/>
                    <pic:cNvPicPr/>
                  </pic:nvPicPr>
                  <pic:blipFill>
                    <a:blip r:embed="rId11"/>
                    <a:stretch>
                      <a:fillRect/>
                    </a:stretch>
                  </pic:blipFill>
                  <pic:spPr>
                    <a:xfrm>
                      <a:off x="0" y="0"/>
                      <a:ext cx="2561189" cy="231751"/>
                    </a:xfrm>
                    <a:prstGeom prst="rect">
                      <a:avLst/>
                    </a:prstGeom>
                  </pic:spPr>
                </pic:pic>
              </a:graphicData>
            </a:graphic>
          </wp:inline>
        </w:drawing>
      </w:r>
      <w:r w:rsidR="00B77B60">
        <w:rPr>
          <w:rFonts w:ascii="Arial" w:hAnsi="Arial" w:cs="Arial"/>
          <w:sz w:val="20"/>
          <w:szCs w:val="20"/>
        </w:rPr>
        <w:t xml:space="preserve"> </w:t>
      </w:r>
      <w:r w:rsidR="00B77B60">
        <w:rPr>
          <w:rFonts w:ascii="Arial" w:hAnsi="Arial" w:cs="Arial"/>
          <w:noProof/>
          <w:sz w:val="20"/>
          <w:szCs w:val="20"/>
        </w:rPr>
        <w:t xml:space="preserve">  </w:t>
      </w:r>
      <w:r w:rsidR="007909A7">
        <w:rPr>
          <w:rFonts w:ascii="Arial" w:hAnsi="Arial" w:cs="Arial"/>
          <w:noProof/>
          <w:sz w:val="20"/>
          <w:szCs w:val="20"/>
        </w:rPr>
        <w:t xml:space="preserve"> </w:t>
      </w:r>
      <w:r w:rsidR="00B77B60">
        <w:rPr>
          <w:rFonts w:ascii="Arial" w:hAnsi="Arial" w:cs="Arial"/>
          <w:noProof/>
          <w:sz w:val="20"/>
          <w:szCs w:val="20"/>
        </w:rPr>
        <w:t xml:space="preserve"> </w:t>
      </w:r>
      <w:r w:rsidR="00B77B60">
        <w:rPr>
          <w:rFonts w:ascii="Arial" w:hAnsi="Arial" w:cs="Arial"/>
          <w:noProof/>
          <w:sz w:val="20"/>
          <w:szCs w:val="20"/>
        </w:rPr>
        <w:drawing>
          <wp:inline distT="0" distB="0" distL="0" distR="0" wp14:anchorId="70424D6A" wp14:editId="7EBB0751">
            <wp:extent cx="1822045" cy="285115"/>
            <wp:effectExtent l="0" t="0" r="698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yE.jpg"/>
                    <pic:cNvPicPr/>
                  </pic:nvPicPr>
                  <pic:blipFill>
                    <a:blip r:embed="rId12"/>
                    <a:stretch>
                      <a:fillRect/>
                    </a:stretch>
                  </pic:blipFill>
                  <pic:spPr>
                    <a:xfrm>
                      <a:off x="0" y="0"/>
                      <a:ext cx="1842084" cy="288251"/>
                    </a:xfrm>
                    <a:prstGeom prst="rect">
                      <a:avLst/>
                    </a:prstGeom>
                  </pic:spPr>
                </pic:pic>
              </a:graphicData>
            </a:graphic>
          </wp:inline>
        </w:drawing>
      </w:r>
      <w:r w:rsidR="007909A7">
        <w:rPr>
          <w:rFonts w:ascii="Arial" w:hAnsi="Arial" w:cs="Arial"/>
          <w:noProof/>
          <w:sz w:val="20"/>
          <w:szCs w:val="20"/>
        </w:rPr>
        <w:t xml:space="preserve">        </w:t>
      </w:r>
      <w:r w:rsidR="00B77B60">
        <w:rPr>
          <w:rFonts w:ascii="Arial" w:hAnsi="Arial" w:cs="Arial"/>
          <w:noProof/>
          <w:sz w:val="20"/>
          <w:szCs w:val="20"/>
        </w:rPr>
        <w:t xml:space="preserve">  </w:t>
      </w:r>
      <w:r w:rsidR="00B77B60">
        <w:rPr>
          <w:noProof/>
        </w:rPr>
        <w:drawing>
          <wp:inline distT="0" distB="0" distL="0" distR="0" wp14:anchorId="5C7FA1C1" wp14:editId="4C062360">
            <wp:extent cx="1421914" cy="5760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1914" cy="576000"/>
                    </a:xfrm>
                    <a:prstGeom prst="rect">
                      <a:avLst/>
                    </a:prstGeom>
                  </pic:spPr>
                </pic:pic>
              </a:graphicData>
            </a:graphic>
          </wp:inline>
        </w:drawing>
      </w:r>
      <w:r w:rsidR="00B77B60">
        <w:rPr>
          <w:rFonts w:ascii="Arial" w:hAnsi="Arial" w:cs="Arial"/>
          <w:noProof/>
          <w:sz w:val="20"/>
          <w:szCs w:val="20"/>
        </w:rPr>
        <w:t xml:space="preserve">  </w:t>
      </w:r>
    </w:p>
    <w:p w14:paraId="5674EFF1" w14:textId="3DCAE09E" w:rsidR="00B77B60" w:rsidRDefault="00B77B60" w:rsidP="006D2C86">
      <w:pPr>
        <w:spacing w:after="0" w:line="240" w:lineRule="auto"/>
        <w:ind w:right="-376"/>
        <w:rPr>
          <w:rFonts w:ascii="Arial" w:hAnsi="Arial" w:cs="Arial"/>
          <w:noProof/>
          <w:sz w:val="20"/>
          <w:szCs w:val="20"/>
        </w:rPr>
      </w:pPr>
    </w:p>
    <w:p w14:paraId="02588527" w14:textId="33FC9F83" w:rsidR="007909A7" w:rsidRDefault="00B77B60" w:rsidP="006D2C86">
      <w:pPr>
        <w:spacing w:after="0" w:line="240" w:lineRule="auto"/>
        <w:ind w:right="-376"/>
        <w:rPr>
          <w:rFonts w:ascii="Arial" w:hAnsi="Arial" w:cs="Arial"/>
          <w:noProof/>
          <w:sz w:val="20"/>
          <w:szCs w:val="20"/>
        </w:rPr>
      </w:pPr>
      <w:r>
        <w:rPr>
          <w:noProof/>
        </w:rPr>
        <w:drawing>
          <wp:inline distT="0" distB="0" distL="0" distR="0" wp14:anchorId="7E7FEC57" wp14:editId="3C1AE32E">
            <wp:extent cx="1146810" cy="5777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7640" cy="603356"/>
                    </a:xfrm>
                    <a:prstGeom prst="rect">
                      <a:avLst/>
                    </a:prstGeom>
                  </pic:spPr>
                </pic:pic>
              </a:graphicData>
            </a:graphic>
          </wp:inline>
        </w:drawing>
      </w:r>
      <w:r w:rsidR="007909A7">
        <w:rPr>
          <w:rFonts w:ascii="Arial" w:hAnsi="Arial" w:cs="Arial"/>
          <w:noProof/>
          <w:sz w:val="20"/>
          <w:szCs w:val="20"/>
        </w:rPr>
        <w:t xml:space="preserve">                              </w:t>
      </w:r>
      <w:r w:rsidR="007909A7">
        <w:rPr>
          <w:noProof/>
        </w:rPr>
        <w:drawing>
          <wp:inline distT="0" distB="0" distL="0" distR="0" wp14:anchorId="6EC99F77" wp14:editId="0D9D0858">
            <wp:extent cx="1519480" cy="509026"/>
            <wp:effectExtent l="0" t="0" r="508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2041" cy="563484"/>
                    </a:xfrm>
                    <a:prstGeom prst="rect">
                      <a:avLst/>
                    </a:prstGeom>
                  </pic:spPr>
                </pic:pic>
              </a:graphicData>
            </a:graphic>
          </wp:inline>
        </w:drawing>
      </w:r>
      <w:r w:rsidR="007909A7">
        <w:rPr>
          <w:rFonts w:ascii="Arial" w:hAnsi="Arial" w:cs="Arial"/>
          <w:noProof/>
          <w:sz w:val="20"/>
          <w:szCs w:val="20"/>
        </w:rPr>
        <w:t xml:space="preserve">           </w:t>
      </w:r>
      <w:r w:rsidR="007909A7">
        <w:rPr>
          <w:noProof/>
        </w:rPr>
        <w:drawing>
          <wp:inline distT="0" distB="0" distL="0" distR="0" wp14:anchorId="6A6A07F0" wp14:editId="00BF828B">
            <wp:extent cx="2013585" cy="365782"/>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8299" cy="428402"/>
                    </a:xfrm>
                    <a:prstGeom prst="rect">
                      <a:avLst/>
                    </a:prstGeom>
                  </pic:spPr>
                </pic:pic>
              </a:graphicData>
            </a:graphic>
          </wp:inline>
        </w:drawing>
      </w:r>
      <w:r w:rsidR="007909A7">
        <w:rPr>
          <w:rFonts w:ascii="Arial" w:hAnsi="Arial" w:cs="Arial"/>
          <w:noProof/>
          <w:sz w:val="20"/>
          <w:szCs w:val="20"/>
        </w:rPr>
        <w:t xml:space="preserve">                                       </w:t>
      </w:r>
    </w:p>
    <w:p w14:paraId="1B24BAED" w14:textId="77777777" w:rsidR="007909A7" w:rsidRDefault="007909A7" w:rsidP="006D2C86">
      <w:pPr>
        <w:spacing w:after="0" w:line="240" w:lineRule="auto"/>
        <w:ind w:right="-376"/>
        <w:rPr>
          <w:rFonts w:ascii="Arial" w:hAnsi="Arial" w:cs="Arial"/>
          <w:noProof/>
          <w:sz w:val="20"/>
          <w:szCs w:val="20"/>
        </w:rPr>
      </w:pPr>
    </w:p>
    <w:p w14:paraId="567A63C3" w14:textId="77777777" w:rsidR="007909A7" w:rsidRDefault="007909A7" w:rsidP="006D2C86">
      <w:pPr>
        <w:spacing w:after="0" w:line="240" w:lineRule="auto"/>
        <w:ind w:right="-376"/>
        <w:rPr>
          <w:rFonts w:ascii="Arial" w:hAnsi="Arial" w:cs="Arial"/>
          <w:noProof/>
          <w:sz w:val="20"/>
          <w:szCs w:val="20"/>
        </w:rPr>
      </w:pPr>
    </w:p>
    <w:p w14:paraId="5A6BFA4A" w14:textId="77777777" w:rsidR="007909A7" w:rsidRDefault="007909A7" w:rsidP="005E6FB8">
      <w:pPr>
        <w:spacing w:after="0" w:line="240" w:lineRule="auto"/>
        <w:ind w:left="-426" w:right="-376"/>
        <w:rPr>
          <w:rFonts w:ascii="Arial" w:hAnsi="Arial" w:cs="Arial"/>
          <w:noProof/>
          <w:sz w:val="20"/>
          <w:szCs w:val="20"/>
        </w:rPr>
      </w:pPr>
    </w:p>
    <w:p w14:paraId="2B17D615" w14:textId="0F26AAD0" w:rsidR="00B77B60" w:rsidRPr="00901924" w:rsidRDefault="007909A7" w:rsidP="006D2C86">
      <w:pPr>
        <w:spacing w:after="0" w:line="240" w:lineRule="auto"/>
        <w:ind w:right="-376"/>
        <w:rPr>
          <w:rFonts w:ascii="Arial" w:hAnsi="Arial" w:cs="Arial"/>
          <w:noProof/>
          <w:sz w:val="20"/>
          <w:szCs w:val="20"/>
        </w:rPr>
      </w:pPr>
      <w:r>
        <w:rPr>
          <w:rFonts w:ascii="Arial" w:hAnsi="Arial" w:cs="Arial"/>
          <w:noProof/>
          <w:sz w:val="20"/>
          <w:szCs w:val="20"/>
        </w:rPr>
        <w:t xml:space="preserve">  </w:t>
      </w:r>
      <w:r>
        <w:rPr>
          <w:noProof/>
        </w:rPr>
        <w:drawing>
          <wp:inline distT="0" distB="0" distL="0" distR="0" wp14:anchorId="39A2AFE6" wp14:editId="09E3CAF1">
            <wp:extent cx="1946910" cy="258336"/>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4682" cy="291213"/>
                    </a:xfrm>
                    <a:prstGeom prst="rect">
                      <a:avLst/>
                    </a:prstGeom>
                  </pic:spPr>
                </pic:pic>
              </a:graphicData>
            </a:graphic>
          </wp:inline>
        </w:drawing>
      </w:r>
      <w:r>
        <w:rPr>
          <w:rFonts w:ascii="Arial" w:hAnsi="Arial" w:cs="Arial"/>
          <w:noProof/>
          <w:sz w:val="20"/>
          <w:szCs w:val="20"/>
        </w:rPr>
        <w:t xml:space="preserve">            </w:t>
      </w:r>
      <w:r>
        <w:rPr>
          <w:noProof/>
        </w:rPr>
        <w:drawing>
          <wp:inline distT="0" distB="0" distL="0" distR="0" wp14:anchorId="785AB57B" wp14:editId="561BDB8D">
            <wp:extent cx="1604010" cy="3681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7994" cy="408116"/>
                    </a:xfrm>
                    <a:prstGeom prst="rect">
                      <a:avLst/>
                    </a:prstGeom>
                  </pic:spPr>
                </pic:pic>
              </a:graphicData>
            </a:graphic>
          </wp:inline>
        </w:drawing>
      </w:r>
      <w:r>
        <w:rPr>
          <w:rFonts w:ascii="Arial" w:hAnsi="Arial" w:cs="Arial"/>
          <w:noProof/>
          <w:sz w:val="20"/>
          <w:szCs w:val="20"/>
        </w:rPr>
        <w:t xml:space="preserve">                       </w:t>
      </w:r>
      <w:r>
        <w:rPr>
          <w:noProof/>
        </w:rPr>
        <w:drawing>
          <wp:inline distT="0" distB="0" distL="0" distR="0" wp14:anchorId="3606F8AC" wp14:editId="6A2DD139">
            <wp:extent cx="1270448" cy="375243"/>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6625" cy="412511"/>
                    </a:xfrm>
                    <a:prstGeom prst="rect">
                      <a:avLst/>
                    </a:prstGeom>
                  </pic:spPr>
                </pic:pic>
              </a:graphicData>
            </a:graphic>
          </wp:inline>
        </w:drawing>
      </w:r>
    </w:p>
    <w:sectPr w:rsidR="00B77B60" w:rsidRPr="00901924" w:rsidSect="00B77B60">
      <w:headerReference w:type="default" r:id="rId20"/>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E497F" w14:textId="77777777" w:rsidR="00A31DE8" w:rsidRDefault="00A31DE8" w:rsidP="00AA3FF6">
      <w:pPr>
        <w:spacing w:after="0" w:line="240" w:lineRule="auto"/>
      </w:pPr>
      <w:r>
        <w:separator/>
      </w:r>
    </w:p>
  </w:endnote>
  <w:endnote w:type="continuationSeparator" w:id="0">
    <w:p w14:paraId="597F3597" w14:textId="77777777" w:rsidR="00A31DE8" w:rsidRDefault="00A31DE8" w:rsidP="00AA3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5E144" w14:textId="77777777" w:rsidR="00A31DE8" w:rsidRDefault="00A31DE8" w:rsidP="00AA3FF6">
      <w:pPr>
        <w:spacing w:after="0" w:line="240" w:lineRule="auto"/>
        <w:rPr>
          <w:noProof/>
        </w:rPr>
      </w:pPr>
      <w:r>
        <w:rPr>
          <w:noProof/>
        </w:rPr>
        <w:separator/>
      </w:r>
    </w:p>
  </w:footnote>
  <w:footnote w:type="continuationSeparator" w:id="0">
    <w:p w14:paraId="7C9A641E" w14:textId="77777777" w:rsidR="00A31DE8" w:rsidRDefault="00A31DE8" w:rsidP="00AA3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34C9F" w14:textId="5C04B496" w:rsidR="00663D2D" w:rsidRDefault="00663D2D" w:rsidP="00E9009E">
    <w:pPr>
      <w:pStyle w:val="Encabezado"/>
      <w:jc w:val="right"/>
      <w:rPr>
        <w:rFonts w:ascii="Times New Roman" w:hAnsi="Times New Roman" w:cs="Times New Roman"/>
        <w:sz w:val="18"/>
        <w:szCs w:val="18"/>
      </w:rPr>
    </w:pPr>
  </w:p>
  <w:p w14:paraId="3B90D2EE" w14:textId="77777777" w:rsidR="005E6FB8" w:rsidRPr="00E9009E" w:rsidRDefault="005E6FB8" w:rsidP="00E9009E">
    <w:pPr>
      <w:pStyle w:val="Encabezado"/>
      <w:jc w:val="right"/>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C40C33"/>
    <w:multiLevelType w:val="hybridMultilevel"/>
    <w:tmpl w:val="86D28C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7A6F37B4"/>
    <w:multiLevelType w:val="hybridMultilevel"/>
    <w:tmpl w:val="EA763B26"/>
    <w:lvl w:ilvl="0" w:tplc="0C28967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4E06"/>
    <w:rsid w:val="00036506"/>
    <w:rsid w:val="000A66D2"/>
    <w:rsid w:val="000C06DE"/>
    <w:rsid w:val="001235F7"/>
    <w:rsid w:val="002071F7"/>
    <w:rsid w:val="00265B7D"/>
    <w:rsid w:val="002A4E06"/>
    <w:rsid w:val="00341EEC"/>
    <w:rsid w:val="00374C1D"/>
    <w:rsid w:val="003A3C7A"/>
    <w:rsid w:val="00493722"/>
    <w:rsid w:val="00561B16"/>
    <w:rsid w:val="005945ED"/>
    <w:rsid w:val="005E6FB8"/>
    <w:rsid w:val="006056E6"/>
    <w:rsid w:val="00663D2D"/>
    <w:rsid w:val="006D2C86"/>
    <w:rsid w:val="007210F4"/>
    <w:rsid w:val="00725FB3"/>
    <w:rsid w:val="007909A7"/>
    <w:rsid w:val="00792F79"/>
    <w:rsid w:val="008824D8"/>
    <w:rsid w:val="00901924"/>
    <w:rsid w:val="009E6CC1"/>
    <w:rsid w:val="009F1DE0"/>
    <w:rsid w:val="00A213BC"/>
    <w:rsid w:val="00A31DE8"/>
    <w:rsid w:val="00A51902"/>
    <w:rsid w:val="00AA3FF6"/>
    <w:rsid w:val="00B77B60"/>
    <w:rsid w:val="00BB7F83"/>
    <w:rsid w:val="00BF0A03"/>
    <w:rsid w:val="00D57939"/>
    <w:rsid w:val="00DC3897"/>
    <w:rsid w:val="00DD7CC1"/>
    <w:rsid w:val="00E21D9F"/>
    <w:rsid w:val="00E9009E"/>
    <w:rsid w:val="00E946E8"/>
    <w:rsid w:val="00ED0EC0"/>
    <w:rsid w:val="00FA6851"/>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3539C8"/>
  <w15:docId w15:val="{DC0E2769-E29F-4FF4-AC82-77258538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1EEC"/>
    <w:pPr>
      <w:ind w:left="720"/>
      <w:contextualSpacing/>
    </w:pPr>
  </w:style>
  <w:style w:type="paragraph" w:styleId="Encabezado">
    <w:name w:val="header"/>
    <w:basedOn w:val="Normal"/>
    <w:link w:val="EncabezadoCar"/>
    <w:uiPriority w:val="99"/>
    <w:unhideWhenUsed/>
    <w:rsid w:val="00AA3F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3FF6"/>
  </w:style>
  <w:style w:type="paragraph" w:styleId="Piedepgina">
    <w:name w:val="footer"/>
    <w:basedOn w:val="Normal"/>
    <w:link w:val="PiedepginaCar"/>
    <w:uiPriority w:val="99"/>
    <w:unhideWhenUsed/>
    <w:rsid w:val="00AA3F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3FF6"/>
  </w:style>
  <w:style w:type="paragraph" w:styleId="Textodeglobo">
    <w:name w:val="Balloon Text"/>
    <w:basedOn w:val="Normal"/>
    <w:link w:val="TextodegloboCar"/>
    <w:uiPriority w:val="99"/>
    <w:semiHidden/>
    <w:unhideWhenUsed/>
    <w:rsid w:val="0003650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36506"/>
    <w:rPr>
      <w:rFonts w:ascii="Lucida Grande" w:hAnsi="Lucida Grande" w:cs="Lucida Grande"/>
      <w:sz w:val="18"/>
      <w:szCs w:val="18"/>
    </w:rPr>
  </w:style>
  <w:style w:type="table" w:styleId="Tablaconcuadrcula">
    <w:name w:val="Table Grid"/>
    <w:basedOn w:val="Tablanormal"/>
    <w:uiPriority w:val="59"/>
    <w:rsid w:val="00E21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1341</Words>
  <Characters>7379</Characters>
  <Application>Microsoft Office Word</Application>
  <DocSecurity>0</DocSecurity>
  <PresentationFormat/>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Acafi.Principios_Filosoficos.v171212 (0199173-2).DOCX</vt:lpstr>
      <vt:lpstr>Acafi.Principios.Filosoficos.VC (0191339).DOCX</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Acafi.Principios_Filosoficos.v171212 (0199173-2).DOCX</dc:title>
  <dc:subject>BAZ: 0199173.DOCX v.2/FONT=8</dc:subject>
  <dc:creator>Matías Zegers</dc:creator>
  <cp:lastModifiedBy>Tomás</cp:lastModifiedBy>
  <cp:revision>3</cp:revision>
  <dcterms:created xsi:type="dcterms:W3CDTF">2018-01-12T17:44:00Z</dcterms:created>
  <dcterms:modified xsi:type="dcterms:W3CDTF">2018-01-14T22:42:00Z</dcterms:modified>
</cp:coreProperties>
</file>